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package.relationships+xml" PartName="/_rels/.rels"/>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package.relationships+xml" PartName="/word/_rels/document.xml.rels"/>
  <Override ContentType="application/vnd.openxmlformats-package.relationships+xml" PartName="/word/_rels/fontTable.xml.rels"/>
  <Override ContentType="application/vnd.openxmlformats-officedocument.wordprocessingml.document.main+xml" PartName="/word/document.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obfuscatedFont" PartName="/word/fonts/font5.odttf"/>
  <Override ContentType="application/vnd.openxmlformats-officedocument.obfuscatedFont" PartName="/word/fonts/font6.odttf"/>
  <Override ContentType="application/vnd.openxmlformats-officedocument.obfuscatedFont" PartName="/word/fonts/font7.odttf"/>
  <Override ContentType="application/vnd.openxmlformats-officedocument.obfuscatedFont" PartName="/word/fonts/font8.odttf"/>
  <Override ContentType="application/vnd.openxmlformats-officedocument.obfuscatedFont" PartName="/word/fonts/font9.odttf"/>
  <Override ContentType="application/vnd.openxmlformats-officedocument.obfuscatedFont" PartName="/word/fonts/font10.odttf"/>
  <Override ContentType="application/vnd.openxmlformats-officedocument.obfuscatedFont" PartName="/word/fonts/font11.odttf"/>
  <Override ContentType="application/vnd.openxmlformats-officedocument.obfuscatedFont" PartName="/word/fonts/font12.odttf"/>
  <Override ContentType="application/vnd.openxmlformats-officedocument.obfuscatedFont" PartName="/word/fonts/font13.odttf"/>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Types>
</file>

<file path=_rels/.rels><?xml version="1.0" encoding="UTF-8" standalone="yes"?><Relationships xmlns="http://schemas.openxmlformats.org/package/2006/relationships"><Relationship Id="rId1" Target="docProps/core.xml" Type="http://schemas.openxmlformats.org/package/2006/relationships/metadata/core-properties"/><Relationship Id="rId2" Target="docProps/app.xml" Type="http://schemas.openxmlformats.org/officeDocument/2006/relationships/extended-properties"/><Relationship Id="rId3" Target="docProps/custom.xml" Type="http://schemas.openxmlformats.org/officeDocument/2006/relationships/custom-properties"/><Relationship Id="rId4" Target="word/document.xml" Type="http://schemas.openxmlformats.org/officeDocument/2006/relationships/officeDocument"/></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body>
    <w:p>
      <w:pPr>
        <w:pStyle w:val="Title"/>
        <w:spacing w:after="80" w:before="240"/>
        <w:contextualSpacing/>
        <w:rPr>
          <w:rFonts w:ascii="Arial" w:cs="Arial" w:hAnsi="Arial"/>
        </w:rPr>
      </w:pPr>
      <w:r>
        <w:rPr/>
        <w:t xml:space="preserve">ECE516H1 </w:t>
      </w:r>
      <w:r>
        <w:rPr>
          <w:rFonts w:cs="Arial"/>
        </w:rPr>
        <w:t>S</w:t>
      </w:r>
    </w:p>
    <w:p>
      <w:pPr>
        <w:pStyle w:val="Subtitle"/>
        <w:rPr/>
      </w:pPr>
      <w:r>
        <w:rPr/>
        <w:t>Intelligent Image Processing</w:t>
      </w:r>
    </w:p>
    <w:p>
      <w:pPr>
        <w:pStyle w:val="Normal"/>
        <w:rPr/>
      </w:pPr>
      <w:r>
        <w:rPr>
          <w:rStyle w:val="SubtitleChar"/>
          <w:bCs/>
          <w:color w:val="auto"/>
        </w:rPr>
        <w:t>Winter 2025</w:t>
      </w:r>
      <w:r>
        <w:rPr>
          <w:rStyle w:val="SubtitleChar"/>
          <w:rFonts w:cs="Arial"/>
          <w:bCs/>
          <w:color w:val="auto"/>
        </w:rPr>
        <w:t xml:space="preserve"> Syllabus</w:t>
      </w:r>
    </w:p>
    <w:p>
      <w:pPr>
        <w:pStyle w:val="Heading2"/>
        <w:rPr/>
      </w:pPr>
      <w:r>
        <w:rPr/>
        <w:t>Course Meetings</w:t>
      </w:r>
    </w:p>
    <w:p>
      <w:pPr>
        <w:pStyle w:val="Heading3"/>
        <w:spacing w:after="120" w:before="0"/>
        <w:rPr>
          <w:szCs w:val="24"/>
        </w:rPr>
      </w:pPr>
      <w:r>
        <w:rPr>
          <w:szCs w:val="24"/>
        </w:rPr>
        <w:t>ECE516H1 S</w:t>
      </w:r>
    </w:p>
    <w:tbl>
      <w:tblPr>
        <w:tblW w:type="pct" w:w="5000"/>
        <w:jc w:val="left"/>
        <w:tblInd w:type="dxa" w:w="-5"/>
        <w:tblLayout w:type="fixed"/>
        <w:tblCellMar>
          <w:top w:type="dxa" w:w="0"/>
          <w:left w:type="dxa" w:w="108"/>
          <w:bottom w:type="dxa" w:w="0"/>
          <w:right w:type="dxa" w:w="108"/>
        </w:tblCellMar>
      </w:tblPr>
      <w:tblGrid>
        <w:gridCol w:w="1402"/>
        <w:gridCol w:w="3932"/>
        <w:gridCol w:w="4026"/>
      </w:tblGrid>
      <w:tr>
        <w:trPr>
          <w:tblHeader w:val="true"/>
          <w:trHeight w:hRule="atLeast" w:val="20"/>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Normal"/>
              <w:widowControl w:val="false"/>
              <w:tabs>
                <w:tab w:pos="720" w:val="clear"/>
                <w:tab w:leader="none" w:pos="2052" w:val="right"/>
              </w:tabs>
              <w:spacing w:after="0" w:before="0" w:line="240" w:lineRule="auto"/>
              <w:rPr>
                <w:rFonts w:ascii="Arial" w:cs="Arial" w:eastAsia="Arial" w:hAnsi="Arial"/>
                <w:b/>
                <w:bCs/>
              </w:rPr>
            </w:pPr>
            <w:r>
              <w:rPr>
                <w:rFonts w:cs="Arial" w:eastAsia="Arial"/>
                <w:b/>
                <w:bCs/>
              </w:rPr>
              <w:t>Section</w:t>
            </w:r>
          </w:p>
        </w:tc>
        <w:tc>
          <w:tcPr>
            <w:tcW w:type="dxa" w:w="3932"/>
            <w:tcBorders>
              <w:top w:color="BFBFBF" w:space="0" w:sz="4" w:val="single"/>
              <w:left w:color="BFBFBF" w:space="0" w:sz="4" w:val="single"/>
              <w:bottom w:color="BFBFBF" w:space="0" w:sz="4" w:val="single"/>
              <w:right w:color="BFBFBF" w:space="0" w:sz="4" w:val="single"/>
            </w:tcBorders>
          </w:tcPr>
          <w:p>
            <w:pPr>
              <w:pStyle w:val="Normal"/>
              <w:widowControl w:val="false"/>
              <w:spacing w:after="0" w:before="0" w:line="240" w:lineRule="auto"/>
              <w:rPr>
                <w:rFonts w:ascii="Arial" w:cs="Arial" w:eastAsia="Arial" w:hAnsi="Arial"/>
                <w:b/>
                <w:bCs/>
              </w:rPr>
            </w:pPr>
            <w:r>
              <w:rPr>
                <w:rFonts w:cs="Arial" w:eastAsia="Arial"/>
                <w:b/>
                <w:bCs/>
              </w:rPr>
              <w:t>Day &amp; Time</w:t>
            </w:r>
          </w:p>
        </w:tc>
        <w:tc>
          <w:tcPr>
            <w:tcW w:type="dxa" w:w="4026"/>
            <w:tcBorders>
              <w:top w:color="BFBFBF" w:space="0" w:sz="4" w:val="single"/>
              <w:left w:color="BFBFBF" w:space="0" w:sz="4" w:val="single"/>
              <w:bottom w:color="BFBFBF" w:space="0" w:sz="4" w:val="single"/>
              <w:right w:color="BFBFBF" w:space="0" w:sz="4" w:val="single"/>
            </w:tcBorders>
          </w:tcPr>
          <w:p>
            <w:pPr>
              <w:pStyle w:val="Normal"/>
              <w:widowControl w:val="false"/>
              <w:spacing w:after="0" w:before="0" w:line="240" w:lineRule="auto"/>
              <w:rPr>
                <w:rFonts w:ascii="Arial" w:cs="Arial" w:eastAsia="Arial" w:hAnsi="Arial"/>
                <w:b/>
                <w:bCs/>
              </w:rPr>
            </w:pPr>
            <w:r>
              <w:rPr>
                <w:rFonts w:cs="Arial" w:eastAsia="Arial"/>
                <w:b/>
                <w:bCs/>
              </w:rPr>
              <w:t>Delivery Mode &amp; Location</w:t>
            </w:r>
          </w:p>
        </w:tc>
      </w:tr>
      <w:tr>
        <w:trPr>
          <w:trHeight w:hRule="atLeast" w:val="274"/>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rStyle w:val="StrongEmphasis"/>
              </w:rPr>
              <w:t>LEC0101</w:t>
            </w:r>
          </w:p>
        </w:tc>
        <w:tc>
          <w:tcPr>
            <w:tcW w:type="dxa" w:w="393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Tuesday, 1:00 PM - 2:00 PM</w:t>
              <w:br/>
              <w:t>Wednesday, 1:00 PM - 2:00 PM</w:t>
              <w:br/>
              <w:t>Friday, 1:00 PM - 2:00 PM</w:t>
            </w:r>
          </w:p>
        </w:tc>
        <w:tc>
          <w:tcPr>
            <w:tcW w:type="dxa" w:w="4026"/>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In Person: BA 3165</w:t>
              <w:br/>
              <w:t>In Person: BA 3165</w:t>
              <w:br/>
              <w:t>In Person: BA 3165</w:t>
            </w:r>
          </w:p>
        </w:tc>
      </w:tr>
      <w:tr>
        <w:trPr>
          <w:trHeight w:hRule="atLeast" w:val="269"/>
          <w:cantSplit w:val="true"/>
        </w:trPr>
        <w:tc>
          <w:tcPr>
            <w:tcW w:type="dxa" w:w="140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rStyle w:val="StrongEmphasis"/>
              </w:rPr>
              <w:t>PRA0101</w:t>
            </w:r>
          </w:p>
        </w:tc>
        <w:tc>
          <w:tcPr>
            <w:tcW w:type="dxa" w:w="3932"/>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Friday, 9:00 AM - 12:00 PM</w:t>
            </w:r>
          </w:p>
        </w:tc>
        <w:tc>
          <w:tcPr>
            <w:tcW w:type="dxa" w:w="4026"/>
            <w:tcBorders>
              <w:top w:color="BFBFBF" w:space="0" w:sz="4" w:val="single"/>
              <w:left w:color="BFBFBF" w:space="0" w:sz="4" w:val="single"/>
              <w:bottom w:color="BFBFBF" w:space="0" w:sz="4" w:val="single"/>
              <w:right w:color="BFBFBF" w:space="0" w:sz="4" w:val="single"/>
            </w:tcBorders>
          </w:tcPr>
          <w:p>
            <w:pPr>
              <w:pStyle w:val="TextBody"/>
              <w:spacing w:after="140" w:before="0" w:line="276" w:lineRule="auto"/>
              <w:rPr/>
            </w:pPr>
            <w:r>
              <w:rPr/>
              <w:t>In Person: BA 3165</w:t>
            </w:r>
          </w:p>
        </w:tc>
      </w:tr>
    </w:tbl>
    <w:p>
      <w:pPr>
        <w:pStyle w:val="Normal"/>
        <w:spacing w:after="0" w:before="0"/>
        <w:rPr>
          <w:rFonts w:cs="Arial"/>
          <w:sz w:val="20"/>
          <w:szCs w:val="20"/>
        </w:rPr>
      </w:pPr>
      <w:r>
        <w:rPr>
          <w:rFonts w:cs="Arial"/>
          <w:sz w:val="20"/>
          <w:szCs w:val="20"/>
        </w:rPr>
        <w:t>Refer to ACORN for the most up-to-date information about the location of the course meetings.</w:t>
      </w:r>
    </w:p>
    <w:p>
      <w:pPr>
        <w:pStyle w:val="Normal"/>
        <w:spacing w:after="0" w:before="0"/>
        <w:rPr>
          <w:rFonts w:cs="Arial"/>
          <w:sz w:val="20"/>
          <w:szCs w:val="20"/>
        </w:rPr>
      </w:pPr>
      <w:r>
        <w:rPr>
          <w:rFonts w:cs="Arial"/>
          <w:sz w:val="20"/>
          <w:szCs w:val="20"/>
        </w:rPr>
      </w:r>
    </w:p>
    <w:p>
      <w:pPr>
        <w:pStyle w:val="TextBody"/>
        <w:rPr/>
      </w:pPr>
      <w:r>
        <w:rPr/>
        <w:t>Labs do not start until January 19th.  For schedule, see http://wearcam.org/ece516/labs.htm</w:t>
      </w:r>
    </w:p>
    <w:p>
      <w:pPr>
        <w:pStyle w:val="Heading2"/>
        <w:rPr/>
      </w:pPr>
      <w:r>
        <w:rPr/>
        <w:t>Course Contacts</w:t>
      </w:r>
    </w:p>
    <w:p>
      <w:pPr>
        <w:pStyle w:val="Normal"/>
        <w:tabs>
          <w:tab w:pos="720" w:val="clear"/>
          <w:tab w:leader="none" w:pos="2268" w:val="left"/>
        </w:tabs>
        <w:spacing w:after="0" w:before="0"/>
        <w:rPr/>
      </w:pPr>
      <w:r>
        <w:rPr>
          <w:rFonts w:cs="Arial"/>
          <w:b/>
          <w:bCs/>
        </w:rPr>
        <w:t>Course Website:</w:t>
      </w:r>
      <w:r>
        <w:rPr>
          <w:rFonts w:cs="Arial"/>
        </w:rPr>
        <w:t xml:space="preserve"> </w:t>
      </w:r>
      <w:hyperlink r:id="rId2">
        <w:r>
          <w:rPr>
            <w:rStyle w:val="InternetLink"/>
            <w:rFonts w:cs="Arial"/>
            <w:color w:val="00B0F0"/>
            <w:u w:val="single"/>
          </w:rPr>
          <w:t>http://wearcam.org/ece516/</w:t>
        </w:r>
      </w:hyperlink>
    </w:p>
    <w:p>
      <w:pPr>
        <w:pStyle w:val="Normal"/>
        <w:tabs>
          <w:tab w:pos="720" w:val="clear"/>
          <w:tab w:leader="none" w:pos="2268" w:val="left"/>
        </w:tabs>
        <w:spacing w:after="0" w:before="0"/>
        <w:rPr>
          <w:rFonts w:cs="Arial"/>
          <w:color w:val="00B0F0"/>
          <w:u w:val="single"/>
        </w:rPr>
      </w:pPr>
      <w:r>
        <w:rPr>
          <w:rFonts w:cs="Arial"/>
          <w:color w:val="00B0F0"/>
          <w:u w:val="single"/>
        </w:rPr>
      </w:r>
    </w:p>
    <w:p>
      <w:pPr>
        <w:pStyle w:val="Normal"/>
        <w:spacing w:after="0" w:before="0"/>
        <w:rPr/>
      </w:pPr>
      <w:r>
        <w:rPr>
          <w:rFonts w:cs="Arial"/>
          <w:b/>
        </w:rPr>
        <w:t xml:space="preserve">Instructor: </w:t>
      </w:r>
      <w:r>
        <w:rPr>
          <w:rFonts w:cs="Arial"/>
        </w:rPr>
        <w:t>Prof. Steve Mann</w:t>
      </w:r>
    </w:p>
    <w:p>
      <w:pPr>
        <w:pStyle w:val="Normal"/>
        <w:spacing w:after="0" w:before="0"/>
        <w:rPr/>
      </w:pPr>
      <w:r>
        <w:rPr>
          <w:rFonts w:cs="Arial"/>
          <w:b/>
        </w:rPr>
        <w:t>Email:</w:t>
      </w:r>
      <w:r>
        <w:rPr>
          <w:rFonts w:cs="Arial"/>
        </w:rPr>
        <w:t xml:space="preserve"> </w:t>
      </w:r>
      <w:hyperlink r:id="rId3">
        <w:r>
          <w:rPr>
            <w:rStyle w:val="InternetLink"/>
            <w:rFonts w:cs="Arial"/>
            <w:color w:val="00B0F0"/>
            <w:u w:val="single"/>
          </w:rPr>
          <w:t>mann@eecg.utoronto.ca</w:t>
        </w:r>
      </w:hyperlink>
    </w:p>
    <w:p>
      <w:pPr>
        <w:pStyle w:val="Normal"/>
        <w:spacing w:after="0" w:before="0"/>
        <w:rPr>
          <w:rFonts w:cs="Arial"/>
          <w:sz w:val="16"/>
          <w:szCs w:val="16"/>
        </w:rPr>
      </w:pPr>
      <w:r>
        <w:rPr>
          <w:rFonts w:cs="Arial"/>
          <w:sz w:val="16"/>
          <w:szCs w:val="16"/>
        </w:rPr>
      </w:r>
    </w:p>
    <w:p>
      <w:pPr>
        <w:pStyle w:val="Normal"/>
        <w:spacing w:after="0" w:before="0"/>
        <w:rPr/>
      </w:pPr>
      <w:r>
        <w:rPr>
          <w:rFonts w:cs="Arial"/>
          <w:b/>
        </w:rPr>
        <w:t xml:space="preserve">Instructor: </w:t>
      </w:r>
      <w:r>
        <w:rPr>
          <w:rFonts w:cs="Arial"/>
        </w:rPr>
        <w:t>Steve Mann</w:t>
      </w:r>
    </w:p>
    <w:p>
      <w:pPr>
        <w:pStyle w:val="Normal"/>
        <w:spacing w:after="0" w:before="0"/>
        <w:rPr/>
      </w:pPr>
      <w:r>
        <w:rPr>
          <w:rFonts w:cs="Arial"/>
          <w:b/>
        </w:rPr>
        <w:t>Email:</w:t>
      </w:r>
      <w:r>
        <w:rPr>
          <w:rFonts w:cs="Arial"/>
        </w:rPr>
        <w:t xml:space="preserve"> </w:t>
      </w:r>
      <w:hyperlink r:id="rId4">
        <w:r>
          <w:rPr>
            <w:rStyle w:val="InternetLink"/>
            <w:rFonts w:cs="Arial"/>
            <w:color w:val="00B0F0"/>
            <w:u w:val="single"/>
          </w:rPr>
          <w:t>mann@eecg.utoronto.ca</w:t>
        </w:r>
      </w:hyperlink>
    </w:p>
    <w:p>
      <w:pPr>
        <w:pStyle w:val="Normal"/>
        <w:tabs>
          <w:tab w:pos="720" w:val="clear"/>
          <w:tab w:leader="none" w:pos="2268" w:val="left"/>
        </w:tabs>
        <w:spacing w:after="0" w:before="0"/>
        <w:rPr/>
      </w:pPr>
      <w:r>
        <w:rPr>
          <w:rFonts w:cs="Arial"/>
          <w:b/>
        </w:rPr>
        <w:t>Office Hours and Location:</w:t>
      </w:r>
      <w:r>
        <w:rPr>
          <w:rFonts w:cs="Arial"/>
        </w:rPr>
        <w:t xml:space="preserve"> </w:t>
      </w:r>
      <w:r>
        <w:rPr/>
        <w:t>Each hour immediately after class (3 hours per week), plus additional office hours can be scheduled upon request.</w:t>
      </w:r>
    </w:p>
    <w:p>
      <w:pPr>
        <w:pStyle w:val="Normal"/>
        <w:spacing w:after="0" w:before="0"/>
        <w:rPr>
          <w:rFonts w:cs="Arial"/>
          <w:sz w:val="16"/>
          <w:szCs w:val="16"/>
        </w:rPr>
      </w:pPr>
      <w:r>
        <w:rPr>
          <w:rFonts w:cs="Arial"/>
          <w:sz w:val="16"/>
          <w:szCs w:val="16"/>
        </w:rPr>
      </w:r>
    </w:p>
    <w:p>
      <w:pPr>
        <w:pStyle w:val="Heading2"/>
        <w:spacing w:after="360" w:before="240"/>
        <w:rPr>
          <w:rFonts w:eastAsia="Arial"/>
          <w:bCs/>
          <w:color w:val="262626"/>
          <w:sz w:val="32"/>
        </w:rPr>
      </w:pPr>
      <w:r>
        <w:rPr/>
        <w:t>Course Overview</w:t>
      </w:r>
    </w:p>
    <w:p>
      <w:pPr>
        <w:pStyle w:val="TextBody"/>
        <w:rPr/>
      </w:pPr>
      <w:r>
        <w:rPr/>
        <w:t>This course provides the student with the fundamental knowledge needed in the rapidly growing field of Personal Cybernetics, including "Wearable Computing", "Personal Technologies", "Human Computer Interaction (HCI)," "Mobile Multimedia," "Augmented Reality," "Mediated Reality," CyborgLogging," and the merging of communications devices such as portable telephones with computational and imaging devices. The focus is on fundamental aspects and new inventions for human-computer interaction. Topics to be covered include: mediated reality, Personal Safety Devices, lifelong personal video capture, the Eye Tap principle, collinearity criterion, comparametric equations, photoquantigraphic imaging, lightvector spaces, anti-homomorphic imaging, application of personal imaging to the visual arts, and algebraic projective geometry.</w:t>
      </w:r>
    </w:p>
    <w:p>
      <w:pPr>
        <w:pStyle w:val="TextBody"/>
        <w:rPr/>
      </w:pPr>
      <w:r>
        <w:rPr/>
        <w:t xml:space="preserve">Please see syllabus, </w:t>
      </w:r>
      <w:hyperlink r:id="rId5">
        <w:r>
          <w:rPr>
            <w:rStyle w:val="InternetLink"/>
          </w:rPr>
          <w:t>http://wearcam.org/ece516/ECE516syllabus2025.pdf</w:t>
        </w:r>
      </w:hyperlink>
    </w:p>
    <w:p>
      <w:pPr>
        <w:pStyle w:val="TextBody"/>
        <w:rPr>
          <w:rFonts w:cs="Arial" w:eastAsia="Arial"/>
          <w:color w:val="000000"/>
        </w:rPr>
      </w:pPr>
      <w:r>
        <w:rPr/>
        <w:t>and course website, http://wearcam.org/ece516/</w:t>
      </w:r>
    </w:p>
    <w:p>
      <w:pPr>
        <w:pStyle w:val="Heading3"/>
        <w:rPr/>
      </w:pPr>
      <w:r>
        <w:rPr/>
        <w:t>Course Learning Outcomes</w:t>
      </w:r>
    </w:p>
    <w:p>
      <w:pPr>
        <w:pStyle w:val="TextBody"/>
        <w:rPr/>
      </w:pPr>
      <w:r>
        <w:rPr/>
        <w:t xml:space="preserve">Please see syllabus, </w:t>
      </w:r>
      <w:hyperlink r:id="rId6">
        <w:r>
          <w:rPr>
            <w:rStyle w:val="InternetLink"/>
          </w:rPr>
          <w:t>http://wearcam.org/ece516/ECE516syllabus2025.pdf</w:t>
        </w:r>
      </w:hyperlink>
    </w:p>
    <w:p>
      <w:pPr>
        <w:pStyle w:val="TextBody"/>
        <w:rPr>
          <w:rFonts w:cs="Arial" w:eastAsia="Arial"/>
          <w:color w:val="000000"/>
        </w:rPr>
      </w:pPr>
      <w:r>
        <w:rPr/>
        <w:t>and course website, http://wearcam.org/ece516/</w:t>
      </w:r>
    </w:p>
    <w:p>
      <w:pPr>
        <w:pStyle w:val="Normal"/>
        <w:spacing w:after="0" w:before="0"/>
        <w:rPr/>
      </w:pPr>
      <w:r>
        <w:rPr>
          <w:rFonts w:cs="Arial" w:eastAsia="Arial"/>
          <w:b/>
          <w:bCs/>
        </w:rPr>
        <w:t>Credit Value:</w:t>
      </w:r>
      <w:r>
        <w:rPr>
          <w:rFonts w:cs="Arial" w:eastAsia="Arial"/>
          <w:b/>
          <w:bCs/>
          <w:color w:val="000000"/>
        </w:rPr>
        <w:t xml:space="preserve"> </w:t>
      </w:r>
      <w:r>
        <w:rPr>
          <w:rFonts w:cs="Arial" w:eastAsia="Arial"/>
          <w:color w:val="000000"/>
        </w:rPr>
        <w:t>0.5</w:t>
      </w:r>
    </w:p>
    <w:p>
      <w:pPr>
        <w:pStyle w:val="Normal"/>
        <w:spacing w:after="0" w:before="0"/>
        <w:rPr>
          <w:rFonts w:cs="Arial" w:eastAsia="Arial"/>
          <w:b/>
          <w:bCs/>
        </w:rPr>
      </w:pPr>
      <w:r>
        <w:rPr>
          <w:rFonts w:cs="Arial" w:eastAsia="Arial"/>
          <w:b/>
          <w:bCs/>
        </w:rPr>
        <w:t>Graduate Attributes:</w:t>
      </w:r>
    </w:p>
    <w:p>
      <w:pPr>
        <w:pStyle w:val="ListParagraph"/>
        <w:numPr>
          <w:ilvl w:val="0"/>
          <w:numId w:val="2"/>
        </w:numPr>
        <w:spacing w:after="0" w:before="0"/>
        <w:contextualSpacing/>
        <w:rPr/>
      </w:pPr>
      <w:r>
        <w:rPr>
          <w:rFonts w:cs="Arial" w:eastAsia="Arial"/>
        </w:rPr>
        <w:t xml:space="preserve">3B. </w:t>
      </w:r>
      <w:r>
        <w:rPr/>
        <w:t>Investigation: Demonstrate the ability to devise and execute a plan to solve a problem. [Applied]</w:t>
      </w:r>
    </w:p>
    <w:p>
      <w:pPr>
        <w:pStyle w:val="ListParagraph"/>
        <w:numPr>
          <w:ilvl w:val="0"/>
          <w:numId w:val="5"/>
        </w:numPr>
        <w:spacing w:after="0" w:before="0"/>
        <w:contextualSpacing/>
        <w:rPr/>
      </w:pPr>
      <w:r>
        <w:rPr>
          <w:rFonts w:cs="Arial" w:eastAsia="Arial"/>
        </w:rPr>
        <w:t xml:space="preserve">3C. </w:t>
      </w:r>
      <w:r>
        <w:rPr/>
        <w:t>Investigation: Demonstrate the ability to use critical analysis to reach valid conclusions supported by the results of the plan. [Applied]</w:t>
      </w:r>
    </w:p>
    <w:p>
      <w:pPr>
        <w:pStyle w:val="ListParagraph"/>
        <w:numPr>
          <w:ilvl w:val="0"/>
          <w:numId w:val="6"/>
        </w:numPr>
        <w:spacing w:after="0" w:before="0"/>
        <w:contextualSpacing/>
        <w:rPr/>
      </w:pPr>
      <w:r>
        <w:rPr>
          <w:rFonts w:cs="Arial" w:eastAsia="Arial"/>
        </w:rPr>
        <w:t xml:space="preserve">5A. </w:t>
      </w:r>
      <w:r>
        <w:rPr/>
        <w:t>Use of Engineering Tools: Demonstrate ability to use fundamental modern techniques, resources and engineering tools. [Applied]</w:t>
      </w:r>
    </w:p>
    <w:p>
      <w:pPr>
        <w:pStyle w:val="ListParagraph"/>
        <w:numPr>
          <w:ilvl w:val="0"/>
          <w:numId w:val="7"/>
        </w:numPr>
        <w:spacing w:after="0" w:before="0"/>
        <w:contextualSpacing/>
        <w:rPr/>
      </w:pPr>
      <w:r>
        <w:rPr>
          <w:rFonts w:cs="Arial" w:eastAsia="Arial"/>
        </w:rPr>
        <w:t xml:space="preserve">5B. </w:t>
      </w:r>
      <w:r>
        <w:rPr/>
        <w:t>Use of Engineering Tools: Demonstrate ability to use discipline specific techniques, resources and engineering tools. [Applied]</w:t>
      </w:r>
    </w:p>
    <w:p>
      <w:pPr>
        <w:pStyle w:val="ListParagraph"/>
        <w:numPr>
          <w:ilvl w:val="0"/>
          <w:numId w:val="8"/>
        </w:numPr>
        <w:spacing w:after="0" w:before="0"/>
        <w:contextualSpacing/>
        <w:rPr/>
      </w:pPr>
      <w:r>
        <w:rPr>
          <w:rFonts w:cs="Arial" w:eastAsia="Arial"/>
        </w:rPr>
        <w:t xml:space="preserve">5C. </w:t>
      </w:r>
      <w:r>
        <w:rPr/>
        <w:t>Use of Engineering Tools: Show recognition of limitations of the tools use. [Applied]</w:t>
      </w:r>
    </w:p>
    <w:p>
      <w:pPr>
        <w:pStyle w:val="Normal"/>
        <w:spacing w:after="0" w:before="0"/>
        <w:rPr>
          <w:rFonts w:cs="Arial" w:eastAsia="Arial"/>
        </w:rPr>
      </w:pPr>
      <w:r>
        <w:rPr>
          <w:rFonts w:cs="Arial" w:eastAsia="Arial"/>
        </w:rPr>
      </w:r>
    </w:p>
    <w:p>
      <w:pPr>
        <w:pStyle w:val="Heading2"/>
        <w:rPr/>
      </w:pPr>
      <w:r>
        <w:rPr/>
        <w:t>Course Materials</w:t>
      </w:r>
    </w:p>
    <w:p>
      <w:pPr>
        <w:pStyle w:val="TextBody"/>
        <w:rPr/>
      </w:pPr>
      <w:r>
        <w:rPr/>
        <w:t>Textbook plus a few small miscellaneous components as outlined on the course website.</w:t>
      </w:r>
    </w:p>
    <w:p>
      <w:pPr>
        <w:pStyle w:val="TextBody"/>
        <w:rPr/>
      </w:pPr>
      <w:r>
        <w:rPr/>
        <w:t>The textbook is:</w:t>
      </w:r>
    </w:p>
    <w:p>
      <w:pPr>
        <w:pStyle w:val="PreformattedText"/>
        <w:rPr/>
      </w:pPr>
      <w:r>
        <w:rPr/>
        <w:t>@BOOK{intelligentimageprocessing,</w:t>
      </w:r>
    </w:p>
    <w:p>
      <w:pPr>
        <w:pStyle w:val="PreformattedText"/>
        <w:rPr/>
      </w:pPr>
      <w:r>
        <w:rPr/>
        <w:t xml:space="preserve">   </w:t>
      </w:r>
      <w:r>
        <w:rPr/>
        <w:t>author = "Steve Mann",</w:t>
      </w:r>
    </w:p>
    <w:p>
      <w:pPr>
        <w:pStyle w:val="PreformattedText"/>
        <w:rPr/>
      </w:pPr>
      <w:r>
        <w:rPr/>
        <w:t xml:space="preserve">   </w:t>
      </w:r>
      <w:r>
        <w:rPr/>
        <w:t>title = "Intelligent Image Processing",</w:t>
      </w:r>
    </w:p>
    <w:p>
      <w:pPr>
        <w:pStyle w:val="PreformattedText"/>
        <w:rPr/>
      </w:pPr>
      <w:r>
        <w:rPr/>
        <w:t xml:space="preserve">   </w:t>
      </w:r>
      <w:r>
        <w:rPr/>
        <w:t>publisher = "John Wiley and Sons",</w:t>
      </w:r>
    </w:p>
    <w:p>
      <w:pPr>
        <w:pStyle w:val="PreformattedText"/>
        <w:rPr/>
      </w:pPr>
      <w:r>
        <w:rPr/>
        <w:t xml:space="preserve">   </w:t>
      </w:r>
      <w:r>
        <w:rPr/>
        <w:t>pages = "384",</w:t>
      </w:r>
    </w:p>
    <w:p>
      <w:pPr>
        <w:pStyle w:val="PreformattedText"/>
        <w:rPr/>
      </w:pPr>
      <w:r>
        <w:rPr/>
        <w:t xml:space="preserve">   </w:t>
      </w:r>
      <w:r>
        <w:rPr/>
        <w:t>month = "November 2",</w:t>
      </w:r>
    </w:p>
    <w:p>
      <w:pPr>
        <w:pStyle w:val="PreformattedText"/>
        <w:rPr/>
      </w:pPr>
      <w:r>
        <w:rPr/>
        <w:t xml:space="preserve">   </w:t>
      </w:r>
      <w:r>
        <w:rPr/>
        <w:t>year = "2001",</w:t>
      </w:r>
    </w:p>
    <w:p>
      <w:pPr>
        <w:pStyle w:val="PreformattedText"/>
        <w:rPr/>
      </w:pPr>
      <w:r>
        <w:rPr/>
        <w:t xml:space="preserve">   </w:t>
      </w:r>
      <w:r>
        <w:rPr/>
        <w:t>note = "ISBN: 0-471-40637-6",</w:t>
      </w:r>
    </w:p>
    <w:p>
      <w:pPr>
        <w:pStyle w:val="PreformattedText"/>
        <w:spacing w:after="283" w:before="0"/>
        <w:rPr/>
      </w:pPr>
      <w:r>
        <w:rPr/>
        <w:t>}</w:t>
      </w:r>
    </w:p>
    <w:p>
      <w:pPr>
        <w:pStyle w:val="Heading2"/>
        <w:rPr/>
      </w:pPr>
      <w:r>
        <w:rPr/>
        <w:t>Marking Scheme</w:t>
      </w:r>
    </w:p>
    <w:tbl>
      <w:tblPr>
        <w:tblW w:type="dxa" w:w="9360"/>
        <w:jc w:val="left"/>
        <w:tblInd w:type="dxa" w:w="0"/>
        <w:tblLayout w:type="fixed"/>
        <w:tblCellMar>
          <w:top w:type="dxa" w:w="0"/>
          <w:left w:type="dxa" w:w="108"/>
          <w:bottom w:type="dxa" w:w="0"/>
          <w:right w:type="dxa" w:w="108"/>
        </w:tblCellMar>
      </w:tblPr>
      <w:tblGrid>
        <w:gridCol w:w="2340"/>
        <w:gridCol w:w="1125"/>
        <w:gridCol w:w="3555"/>
        <w:gridCol w:w="2340"/>
      </w:tblGrid>
      <w:tr>
        <w:trPr>
          <w:tblHeader w:val="true"/>
          <w:trHeight w:hRule="atLeast" w:val="457"/>
          <w:cantSplit w:val="true"/>
        </w:trPr>
        <w:tc>
          <w:tcPr>
            <w:tcW w:type="dxa" w:w="2340"/>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Assessment</w:t>
            </w:r>
          </w:p>
        </w:tc>
        <w:tc>
          <w:tcPr>
            <w:tcW w:type="dxa" w:w="1125"/>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Percent</w:t>
            </w:r>
          </w:p>
        </w:tc>
        <w:tc>
          <w:tcPr>
            <w:tcW w:type="dxa" w:w="3555"/>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Details</w:t>
            </w:r>
          </w:p>
        </w:tc>
        <w:tc>
          <w:tcPr>
            <w:tcW w:type="dxa" w:w="2340"/>
            <w:tcBorders>
              <w:top w:color="999999" w:space="0" w:sz="4" w:val="single"/>
              <w:left w:color="999999" w:space="0" w:sz="4" w:val="single"/>
              <w:bottom w:color="666666" w:space="0" w:sz="12" w:val="single"/>
              <w:right w:color="999999" w:space="0" w:sz="4" w:val="single"/>
            </w:tcBorders>
          </w:tcPr>
          <w:p>
            <w:pPr>
              <w:pStyle w:val="Normal"/>
              <w:widowControl/>
              <w:spacing w:after="160" w:before="0" w:line="259" w:lineRule="auto"/>
              <w:jc w:val="left"/>
              <w:rPr>
                <w:rFonts w:cs="Arial" w:eastAsia="Arial"/>
              </w:rPr>
            </w:pPr>
            <w:r>
              <w:rPr>
                <w:rFonts w:cs="Arial" w:eastAsia="Arial"/>
                <w:b/>
                <w:bCs/>
                <w:kern w:val="0"/>
                <w:sz w:val="22"/>
                <w:szCs w:val="22"/>
                <w:lang w:bidi="ar-SA" w:eastAsia="ja-JP" w:val="en-CA"/>
              </w:rPr>
              <w:t>Due Date</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Labs and general participation</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65%</w:t>
            </w:r>
          </w:p>
        </w:tc>
        <w:tc>
          <w:tcPr>
            <w:tcW w:type="dxa" w:w="3555"/>
            <w:tcBorders>
              <w:top w:color="999999" w:space="0" w:sz="4" w:val="single"/>
              <w:left w:color="999999" w:space="0" w:sz="4" w:val="single"/>
              <w:bottom w:color="999999" w:space="0" w:sz="4" w:val="single"/>
              <w:right w:color="999999" w:space="0" w:sz="4" w:val="single"/>
            </w:tcBorders>
          </w:tcPr>
          <w:p>
            <w:pPr>
              <w:pStyle w:val="TextBody"/>
              <w:spacing w:after="140" w:before="0" w:line="276" w:lineRule="auto"/>
              <w:rPr/>
            </w:pPr>
            <w:r>
              <w:rPr/>
              <w:t>Please see syllabus, http://wearcam.org/ece516/ECE516syllabus2023.pdf and course website, http://wearcam.org/ece516/</w:t>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No Specific Date</w:t>
            </w:r>
          </w:p>
        </w:tc>
      </w:tr>
      <w:tr>
        <w:trPr>
          <w:cantSplit w:val="true"/>
        </w:trPr>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b/>
                <w:bCs/>
                <w:kern w:val="0"/>
                <w:sz w:val="22"/>
                <w:szCs w:val="22"/>
                <w:lang w:bidi="ar-SA" w:eastAsia="ja-JP" w:val="en-CA"/>
              </w:rPr>
              <w:t>Final Assessment</w:t>
            </w:r>
          </w:p>
        </w:tc>
        <w:tc>
          <w:tcPr>
            <w:tcW w:type="dxa" w:w="1125"/>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35%</w:t>
            </w:r>
          </w:p>
        </w:tc>
        <w:tc>
          <w:tcPr>
            <w:tcW w:type="dxa" w:w="3555"/>
            <w:tcBorders>
              <w:top w:color="999999" w:space="0" w:sz="4" w:val="single"/>
              <w:left w:color="999999" w:space="0" w:sz="4" w:val="single"/>
              <w:bottom w:color="999999" w:space="0" w:sz="4" w:val="single"/>
              <w:right w:color="999999" w:space="0" w:sz="4" w:val="single"/>
            </w:tcBorders>
          </w:tcPr>
          <w:p>
            <w:pPr>
              <w:pStyle w:val="TextBody"/>
              <w:spacing w:after="140" w:before="0" w:line="276" w:lineRule="auto"/>
              <w:rPr/>
            </w:pPr>
            <w:r>
              <w:rPr/>
              <w:t>Please see syllabus, http://wearcam.org/ece516/ECE516syllabus2023.pdf and course website, http://wearcam.org/ece516/</w:t>
            </w:r>
          </w:p>
        </w:tc>
        <w:tc>
          <w:tcPr>
            <w:tcW w:type="dxa" w:w="2340"/>
            <w:tcBorders>
              <w:top w:color="999999" w:space="0" w:sz="4" w:val="single"/>
              <w:left w:color="999999" w:space="0" w:sz="4" w:val="single"/>
              <w:bottom w:color="999999" w:space="0" w:sz="4" w:val="single"/>
              <w:right w:color="999999" w:space="0" w:sz="4" w:val="single"/>
            </w:tcBorders>
          </w:tcPr>
          <w:p>
            <w:pPr>
              <w:pStyle w:val="Normal"/>
              <w:widowControl/>
              <w:spacing w:after="0" w:before="0" w:line="240" w:lineRule="auto"/>
              <w:jc w:val="left"/>
              <w:rPr>
                <w:rFonts w:cs="Arial" w:eastAsia="Arial"/>
              </w:rPr>
            </w:pPr>
            <w:r>
              <w:rPr>
                <w:rFonts w:cs="Arial" w:eastAsia="Arial"/>
                <w:kern w:val="0"/>
                <w:sz w:val="22"/>
                <w:szCs w:val="22"/>
                <w:lang w:bidi="ar-SA" w:eastAsia="ja-JP" w:val="en-CA"/>
              </w:rPr>
              <w:t>Final Exam Period</w:t>
            </w:r>
          </w:p>
        </w:tc>
      </w:tr>
    </w:tbl>
    <w:p>
      <w:pPr>
        <w:pStyle w:val="TextBody"/>
        <w:rPr/>
      </w:pPr>
      <w:r>
        <w:rPr/>
        <w:t>Please see syllabus, http://wearcam.org/ece516/ECE516syllabus2025.pdf</w:t>
        <w:br/>
        <w:t>and course website, http://wearcam.org/ece516/</w:t>
      </w:r>
    </w:p>
    <w:p>
      <w:pPr>
        <w:pStyle w:val="Heading3"/>
        <w:rPr/>
      </w:pPr>
      <w:r>
        <w:rPr/>
        <w:t>Late Assessment Submissions Policy</w:t>
      </w:r>
    </w:p>
    <w:p>
      <w:pPr>
        <w:pStyle w:val="TextBody"/>
        <w:rPr/>
      </w:pPr>
      <w:r>
        <w:rPr/>
        <w:t>Please see syllabus, http://wearcam.org/ece516/ECE516syllabus2025.pdf and course website, http://wearcam.org/ece516/</w:t>
      </w:r>
    </w:p>
    <w:p>
      <w:pPr>
        <w:pStyle w:val="Heading2"/>
        <w:rPr>
          <w:rFonts w:eastAsia="Arial"/>
          <w:color w:val="262626"/>
          <w:sz w:val="32"/>
        </w:rPr>
      </w:pPr>
      <w:r>
        <w:rPr/>
        <w:t>Policies &amp; Statements</w:t>
      </w:r>
    </w:p>
    <w:p>
      <w:pPr>
        <w:pStyle w:val="Heading3"/>
        <w:rPr/>
      </w:pPr>
      <w:r>
        <w:rPr/>
        <w:t>University Land Acknowledgement</w:t>
      </w:r>
    </w:p>
    <w:p>
      <w:pPr>
        <w:pStyle w:val="TextBody"/>
        <w:rPr/>
      </w:pPr>
      <w:r>
        <w:rPr/>
        <w:t>I wish to acknowledge this land on which the University of Toronto operates. For thousands of years, it has been the traditional land of the Huron-Wendat, the Seneca, and the Mississaugas of the Credit. Today, this meeting place is still the home to many Indigenous people from across Turtle Island and we are grateful to have the opportunity to work on this land.</w:t>
      </w:r>
    </w:p>
    <w:p>
      <w:pPr>
        <w:pStyle w:val="TextBody"/>
        <w:rPr/>
      </w:pPr>
      <w:r>
        <w:rPr/>
        <w:t xml:space="preserve">Learn more about Canada’s relationship with Indigenous Peoples </w:t>
      </w:r>
      <w:hyperlink r:id="rId7">
        <w:r>
          <w:rPr>
            <w:rStyle w:val="InternetLink"/>
          </w:rPr>
          <w:t>here.</w:t>
        </w:r>
      </w:hyperlink>
    </w:p>
    <w:p>
      <w:pPr>
        <w:pStyle w:val="TextBody"/>
        <w:rPr>
          <w:b/>
        </w:rPr>
      </w:pPr>
      <w:r>
        <w:rPr>
          <w:b/>
        </w:rPr>
        <w:t>Indigenous Students’ Supports</w:t>
      </w:r>
    </w:p>
    <w:p>
      <w:pPr>
        <w:pStyle w:val="TextBody"/>
        <w:rPr/>
      </w:pPr>
      <w:r>
        <w:rPr/>
        <w:t xml:space="preserve">If you are an Indigenous engineering student, you are invited to join a private Discord channel to meet other Indigenous students, professors, and staff, chat about scholarships, awards, work opportunities, Indigenous-related events, and receive mentorship. Email </w:t>
      </w:r>
      <w:hyperlink r:id="rId8">
        <w:r>
          <w:rPr>
            <w:rStyle w:val="InternetLink"/>
          </w:rPr>
          <w:t>Professor Bazylak</w:t>
        </w:r>
      </w:hyperlink>
      <w:r>
        <w:rPr/>
        <w:t xml:space="preserve"> if you are interested.</w:t>
      </w:r>
    </w:p>
    <w:p>
      <w:pPr>
        <w:pStyle w:val="TextBody"/>
        <w:rPr/>
      </w:pPr>
      <w:r>
        <w:rPr/>
        <w:t xml:space="preserve">Indigenous students at U of T are also invited to visit Nations House’s (FNH) Indigenous Student Services for culturally relevant programs and services. If you want more information on how to apply for Indigenous specific funding opportunities, cultural programs, traditional medicines, academic support, monthly social events or receive the weekly newsletter, go to the FNH </w:t>
      </w:r>
      <w:hyperlink r:id="rId9">
        <w:r>
          <w:rPr>
            <w:rStyle w:val="InternetLink"/>
          </w:rPr>
          <w:t>website</w:t>
        </w:r>
      </w:hyperlink>
      <w:r>
        <w:rPr/>
        <w:t xml:space="preserve">, </w:t>
      </w:r>
      <w:hyperlink r:id="rId10">
        <w:r>
          <w:rPr>
            <w:rStyle w:val="InternetLink"/>
          </w:rPr>
          <w:t>email</w:t>
        </w:r>
      </w:hyperlink>
      <w:r>
        <w:rPr/>
        <w:t xml:space="preserve"> or follow FNH on social media: </w:t>
      </w:r>
      <w:hyperlink r:id="rId11">
        <w:r>
          <w:rPr>
            <w:rStyle w:val="InternetLink"/>
          </w:rPr>
          <w:t>Facebook</w:t>
        </w:r>
      </w:hyperlink>
      <w:r>
        <w:rPr/>
        <w:t xml:space="preserve">, </w:t>
      </w:r>
      <w:hyperlink r:id="rId12">
        <w:r>
          <w:rPr>
            <w:rStyle w:val="InternetLink"/>
          </w:rPr>
          <w:t>Instagram</w:t>
        </w:r>
      </w:hyperlink>
      <w:r>
        <w:rPr/>
        <w:t xml:space="preserve">, or </w:t>
      </w:r>
      <w:hyperlink r:id="rId13">
        <w:r>
          <w:rPr>
            <w:rStyle w:val="InternetLink"/>
          </w:rPr>
          <w:t>TikTok</w:t>
        </w:r>
      </w:hyperlink>
      <w:r>
        <w:rPr/>
        <w:t xml:space="preserve">. A full event calendar is on the CLNX platform. Check CLNX often to see what new events are added! </w:t>
      </w:r>
    </w:p>
    <w:p>
      <w:pPr>
        <w:pStyle w:val="Heading3"/>
        <w:rPr/>
      </w:pPr>
      <w:r>
        <w:rPr/>
        <w:t>Wellness and Mental Health Support</w:t>
      </w:r>
    </w:p>
    <w:p>
      <w:pPr>
        <w:pStyle w:val="TextBody"/>
        <w:rPr/>
      </w:pPr>
      <w:r>
        <w:rPr/>
        <w:t xml:space="preserve">Your personal wellness and mental health are important. The University of Toronto and the Faculty of Applied Science &amp; Engineering offer a wide range of free and confidential services that can support your well-being. </w:t>
        <w:br/>
        <w:br/>
        <w:t xml:space="preserve">As a U of T Engineering student, you have a Departmental </w:t>
      </w:r>
      <w:hyperlink r:id="rId14" w:tgtFrame="_blank">
        <w:r>
          <w:rPr>
            <w:rStyle w:val="InternetLink"/>
          </w:rPr>
          <w:t>Undergraduate Advisor</w:t>
        </w:r>
      </w:hyperlink>
      <w:r>
        <w:rPr/>
        <w:t xml:space="preserve"> or a Departmental </w:t>
      </w:r>
      <w:hyperlink r:id="rId15" w:tgtFrame="_blank">
        <w:r>
          <w:rPr>
            <w:rStyle w:val="InternetLink"/>
          </w:rPr>
          <w:t>Graduate Administrator</w:t>
        </w:r>
      </w:hyperlink>
      <w:r>
        <w:rPr/>
        <w:t xml:space="preserve"> who can support you by advising on personal matters that impact your academics. Other resources that you may find helpful are listed on the </w:t>
      </w:r>
      <w:hyperlink r:id="rId16" w:tgtFrame="_blank">
        <w:r>
          <w:rPr>
            <w:rStyle w:val="InternetLink"/>
          </w:rPr>
          <w:t>U of T Engineering Mental Health &amp; Wellness webpage</w:t>
        </w:r>
      </w:hyperlink>
      <w:r>
        <w:rPr/>
        <w:t xml:space="preserve">, and a small selection are also included here: </w:t>
      </w:r>
    </w:p>
    <w:p>
      <w:pPr>
        <w:pStyle w:val="TextBody"/>
        <w:numPr>
          <w:ilvl w:val="0"/>
          <w:numId w:val="3"/>
        </w:numPr>
        <w:tabs>
          <w:tab w:pos="720" w:val="clear"/>
          <w:tab w:leader="none" w:pos="0" w:val="left"/>
        </w:tabs>
        <w:spacing w:after="0" w:before="0"/>
        <w:ind w:hanging="283" w:left="709"/>
        <w:rPr/>
      </w:pPr>
      <w:r>
        <w:fldChar w:fldCharType="begin"/>
      </w:r>
      <w:r>
        <w:rPr>
          <w:rStyle w:val="InternetLink"/>
        </w:rPr>
        <w:instrText xml:space="preserve"> HYPERLINK "https://www.engineering.utoronto.ca/mental-health-wellness/" \l "SCWC" \n _blank</w:instrText>
      </w:r>
      <w:r>
        <w:rPr>
          <w:rStyle w:val="InternetLink"/>
        </w:rPr>
        <w:fldChar w:fldCharType="separate"/>
      </w:r>
      <w:r>
        <w:rPr>
          <w:rStyle w:val="InternetLink"/>
        </w:rPr>
        <w:t>U of T Engineering’s Student &amp; Community Wellness Coordinator</w:t>
      </w:r>
      <w:r>
        <w:rPr>
          <w:rStyle w:val="InternetLink"/>
        </w:rPr>
        <w:fldChar w:fldCharType="end"/>
      </w:r>
      <w:r>
        <w:rPr/>
        <w:t xml:space="preserve"> </w:t>
      </w:r>
    </w:p>
    <w:p>
      <w:pPr>
        <w:pStyle w:val="TextBody"/>
        <w:numPr>
          <w:ilvl w:val="0"/>
          <w:numId w:val="3"/>
        </w:numPr>
        <w:tabs>
          <w:tab w:pos="720" w:val="clear"/>
          <w:tab w:leader="none" w:pos="0" w:val="left"/>
        </w:tabs>
        <w:spacing w:after="0" w:before="0"/>
        <w:ind w:hanging="283" w:left="709"/>
        <w:rPr/>
      </w:pPr>
      <w:hyperlink r:id="rId17" w:tgtFrame="_blank">
        <w:r>
          <w:rPr>
            <w:rStyle w:val="InternetLink"/>
          </w:rPr>
          <w:t>Health &amp; Wellness</w:t>
        </w:r>
      </w:hyperlink>
      <w:r>
        <w:rPr/>
        <w:t xml:space="preserve"> and the </w:t>
      </w:r>
      <w:hyperlink r:id="rId18" w:tgtFrame="_blank">
        <w:r>
          <w:rPr>
            <w:rStyle w:val="InternetLink"/>
          </w:rPr>
          <w:t>On-Location Engineering Wellness Counsellor</w:t>
        </w:r>
      </w:hyperlink>
      <w:r>
        <w:rPr/>
        <w:t xml:space="preserve"> </w:t>
      </w:r>
    </w:p>
    <w:p>
      <w:pPr>
        <w:pStyle w:val="TextBody"/>
        <w:numPr>
          <w:ilvl w:val="0"/>
          <w:numId w:val="3"/>
        </w:numPr>
        <w:tabs>
          <w:tab w:pos="720" w:val="clear"/>
          <w:tab w:leader="none" w:pos="0" w:val="left"/>
        </w:tabs>
        <w:spacing w:after="0" w:before="0"/>
        <w:ind w:hanging="283" w:left="709"/>
        <w:rPr/>
      </w:pPr>
      <w:hyperlink r:id="rId19" w:tgtFrame="_blank">
        <w:r>
          <w:rPr>
            <w:rStyle w:val="InternetLink"/>
          </w:rPr>
          <w:t>Health &amp; Wellness Peer Support Program</w:t>
        </w:r>
      </w:hyperlink>
      <w:r>
        <w:rPr/>
        <w:t xml:space="preserve"> </w:t>
      </w:r>
    </w:p>
    <w:p>
      <w:pPr>
        <w:pStyle w:val="TextBody"/>
        <w:numPr>
          <w:ilvl w:val="0"/>
          <w:numId w:val="3"/>
        </w:numPr>
        <w:tabs>
          <w:tab w:pos="720" w:val="clear"/>
          <w:tab w:leader="none" w:pos="0" w:val="left"/>
        </w:tabs>
        <w:spacing w:after="0" w:before="0"/>
        <w:ind w:hanging="283" w:left="709"/>
        <w:rPr/>
      </w:pPr>
      <w:hyperlink r:id="rId20" w:tgtFrame="_blank">
        <w:r>
          <w:rPr>
            <w:rStyle w:val="InternetLink"/>
          </w:rPr>
          <w:t>Accessibility Services</w:t>
        </w:r>
      </w:hyperlink>
      <w:r>
        <w:rPr/>
        <w:t xml:space="preserve"> &amp; the </w:t>
      </w:r>
      <w:hyperlink r:id="rId21" w:tgtFrame="_blank">
        <w:r>
          <w:rPr>
            <w:rStyle w:val="InternetLink"/>
          </w:rPr>
          <w:t>On-Location Advisor</w:t>
        </w:r>
      </w:hyperlink>
      <w:r>
        <w:rPr/>
        <w:t xml:space="preserve"> </w:t>
      </w:r>
    </w:p>
    <w:p>
      <w:pPr>
        <w:pStyle w:val="TextBody"/>
        <w:numPr>
          <w:ilvl w:val="0"/>
          <w:numId w:val="3"/>
        </w:numPr>
        <w:tabs>
          <w:tab w:pos="720" w:val="clear"/>
          <w:tab w:leader="none" w:pos="0" w:val="left"/>
        </w:tabs>
        <w:spacing w:after="0" w:before="0"/>
        <w:ind w:hanging="283" w:left="709"/>
        <w:rPr/>
      </w:pPr>
      <w:hyperlink r:id="rId22" w:tgtFrame="_blank">
        <w:r>
          <w:rPr>
            <w:rStyle w:val="InternetLink"/>
          </w:rPr>
          <w:t>Graduate Engineering Council of Students’ Mental Wellness Commission</w:t>
        </w:r>
      </w:hyperlink>
      <w:r>
        <w:rPr/>
        <w:t xml:space="preserve"> </w:t>
      </w:r>
    </w:p>
    <w:p>
      <w:pPr>
        <w:pStyle w:val="TextBody"/>
        <w:numPr>
          <w:ilvl w:val="0"/>
          <w:numId w:val="3"/>
        </w:numPr>
        <w:tabs>
          <w:tab w:pos="720" w:val="clear"/>
          <w:tab w:leader="none" w:pos="0" w:val="left"/>
        </w:tabs>
        <w:spacing w:after="0" w:before="0"/>
        <w:ind w:hanging="283" w:left="709"/>
        <w:rPr/>
      </w:pPr>
      <w:hyperlink r:id="rId23" w:tgtFrame="_blank">
        <w:r>
          <w:rPr>
            <w:rStyle w:val="InternetLink"/>
          </w:rPr>
          <w:t xml:space="preserve">SKULE™ Mental Wellness </w:t>
        </w:r>
      </w:hyperlink>
    </w:p>
    <w:p>
      <w:pPr>
        <w:pStyle w:val="TextBody"/>
        <w:numPr>
          <w:ilvl w:val="0"/>
          <w:numId w:val="3"/>
        </w:numPr>
        <w:tabs>
          <w:tab w:pos="720" w:val="clear"/>
          <w:tab w:leader="none" w:pos="0" w:val="left"/>
        </w:tabs>
        <w:spacing w:after="0" w:before="0"/>
        <w:ind w:hanging="283" w:left="709"/>
        <w:rPr/>
      </w:pPr>
      <w:hyperlink r:id="rId24" w:tgtFrame="_blank">
        <w:r>
          <w:rPr>
            <w:rStyle w:val="InternetLink"/>
          </w:rPr>
          <w:t>U of T Engineering’s Learning Strategist</w:t>
        </w:r>
      </w:hyperlink>
      <w:r>
        <w:rPr/>
        <w:t xml:space="preserve"> and </w:t>
      </w:r>
      <w:hyperlink r:id="rId25" w:tgtFrame="_blank">
        <w:r>
          <w:rPr>
            <w:rStyle w:val="InternetLink"/>
          </w:rPr>
          <w:t>Centre for Learning Strategy Support</w:t>
        </w:r>
      </w:hyperlink>
      <w:r>
        <w:rPr/>
        <w:t xml:space="preserve"> </w:t>
      </w:r>
    </w:p>
    <w:p>
      <w:pPr>
        <w:pStyle w:val="TextBody"/>
        <w:numPr>
          <w:ilvl w:val="0"/>
          <w:numId w:val="3"/>
        </w:numPr>
        <w:tabs>
          <w:tab w:pos="720" w:val="clear"/>
          <w:tab w:leader="none" w:pos="0" w:val="left"/>
        </w:tabs>
        <w:ind w:hanging="283" w:left="709"/>
        <w:rPr/>
      </w:pPr>
      <w:hyperlink r:id="rId26" w:tgtFrame="_blank">
        <w:r>
          <w:rPr>
            <w:rStyle w:val="InternetLink"/>
          </w:rPr>
          <w:t>Registrar’s Office</w:t>
        </w:r>
      </w:hyperlink>
      <w:r>
        <w:rPr/>
        <w:t xml:space="preserve"> and </w:t>
      </w:r>
      <w:hyperlink r:id="rId27" w:tgtFrame="_blank">
        <w:r>
          <w:rPr>
            <w:rStyle w:val="InternetLink"/>
          </w:rPr>
          <w:t>Scholarships &amp; Financial Aid Office &amp; Advisor</w:t>
        </w:r>
      </w:hyperlink>
      <w:r>
        <w:rPr/>
        <w:t xml:space="preserve"> </w:t>
      </w:r>
    </w:p>
    <w:p>
      <w:pPr>
        <w:pStyle w:val="TextBody"/>
        <w:rPr/>
      </w:pPr>
      <w:r>
        <w:rPr/>
        <w:br/>
        <w:t xml:space="preserve">We encourage you to access these resources as soon as you feel you need support; no issue is too small. You may reach out to the counsellors at </w:t>
      </w:r>
      <w:hyperlink r:id="rId28" w:tgtFrame="_blank">
        <w:r>
          <w:rPr>
            <w:rStyle w:val="InternetLink"/>
          </w:rPr>
          <w:t>U of T Telus Health Student Support</w:t>
        </w:r>
      </w:hyperlink>
      <w:r>
        <w:rPr/>
        <w:t xml:space="preserve"> for 24/7 free and confidential counselling support. </w:t>
        <w:br/>
        <w:br/>
        <w:t xml:space="preserve">If you find yourself feeling distressed and in need of more immediate support visit </w:t>
      </w:r>
      <w:hyperlink r:id="rId29" w:tgtFrame="_blank">
        <w:r>
          <w:rPr>
            <w:rStyle w:val="InternetLink"/>
          </w:rPr>
          <w:t>uoft.me/feelingdistressed</w:t>
        </w:r>
      </w:hyperlink>
      <w:r>
        <w:rPr/>
        <w:t xml:space="preserve"> or U of T Engineering’s </w:t>
      </w:r>
      <w:hyperlink r:id="rId30" w:tgtFrame="_blank">
        <w:r>
          <w:rPr>
            <w:rStyle w:val="InternetLink"/>
          </w:rPr>
          <w:t>Urgent Support – Talk to Someone Right Now</w:t>
        </w:r>
      </w:hyperlink>
      <w:r>
        <w:rPr/>
        <w:t xml:space="preserve">. </w:t>
      </w:r>
    </w:p>
    <w:p>
      <w:pPr>
        <w:pStyle w:val="Heading3"/>
        <w:rPr/>
      </w:pPr>
      <w:r>
        <w:rPr/>
        <w:t>Accommodations</w:t>
      </w:r>
    </w:p>
    <w:p>
      <w:pPr>
        <w:pStyle w:val="TextBody"/>
        <w:rPr/>
      </w:pPr>
      <w:r>
        <w:rPr/>
        <w:t xml:space="preserve">The University of Toronto supports accommodations for students with diverse learning needs, which may be associated with mental health conditions, learning disabilities, autism spectrum, ADHD, mobility impairments, functional/fine motor impairments, concussion or head injury, visual impairments, chronic health conditions, addictions, D/deaf, deafened or hard of hearing, communication disorders and/or temporary disabilities, such as fractures and severe sprains, or recovery from an operation. </w:t>
        <w:br/>
        <w:br/>
        <w:t xml:space="preserve">If you have a learning need requiring an accommodation the University of Toronto recommends that students </w:t>
      </w:r>
      <w:hyperlink r:id="rId31" w:tgtFrame="_blank">
        <w:r>
          <w:rPr>
            <w:rStyle w:val="InternetLink"/>
          </w:rPr>
          <w:t>register with Accessibility Services</w:t>
        </w:r>
      </w:hyperlink>
      <w:r>
        <w:rPr/>
        <w:t xml:space="preserve"> as soon as possible. </w:t>
        <w:br/>
        <w:br/>
        <w:t xml:space="preserve">We know that many students may be hesitant to reach out to Accessibility Services for accommodations. The process of accommodation is private; we will not share details of your needs or condition with any instructor. </w:t>
        <w:br/>
        <w:br/>
        <w:t xml:space="preserve">If you feel hesitant to register with us, we encourage you to reach out for further information and resources on how we can support. It may feel difficult to ask for help, but it can make all the difference during your time here. </w:t>
        <w:br/>
        <w:br/>
        <w:t xml:space="preserve">Phone: 416-978-8060 </w:t>
        <w:br/>
        <w:t xml:space="preserve">Email: </w:t>
      </w:r>
      <w:hyperlink r:id="rId32" w:tgtFrame="_blank">
        <w:r>
          <w:rPr>
            <w:rStyle w:val="InternetLink"/>
          </w:rPr>
          <w:t>accessibility.services@utoronto.ca</w:t>
        </w:r>
      </w:hyperlink>
      <w:r>
        <w:rPr/>
        <w:t xml:space="preserve"> </w:t>
      </w:r>
    </w:p>
    <w:p>
      <w:pPr>
        <w:pStyle w:val="Heading3"/>
        <w:rPr/>
      </w:pPr>
      <w:r>
        <w:rPr/>
        <w:t>Equity, Diversity and Inclusion</w:t>
      </w:r>
    </w:p>
    <w:p>
      <w:pPr>
        <w:pStyle w:val="TextBody"/>
        <w:rPr/>
      </w:pPr>
      <w:r>
        <w:rPr>
          <w:rStyle w:val="StrongEmphasis"/>
        </w:rPr>
        <w:t>Looking for community? Feeling isolated? Not being understood or heard?</w:t>
      </w:r>
      <w:r>
        <w:rPr/>
        <w:br/>
        <w:br/>
      </w:r>
      <w:r>
        <w:rPr>
          <w:rStyle w:val="StrongEmphasis"/>
        </w:rPr>
        <w:t xml:space="preserve">You are not alone. </w:t>
      </w:r>
      <w:r>
        <w:rPr/>
        <w:t xml:space="preserve">You can talk to anyone in the Faculty that you feel comfortable approaching, anytime – professors, instructors, teaching assistants, </w:t>
      </w:r>
      <w:r>
        <w:fldChar w:fldCharType="begin"/>
      </w:r>
      <w:r>
        <w:rPr>
          <w:rStyle w:val="InternetLink"/>
        </w:rPr>
        <w:instrText xml:space="preserve"> HYPERLINK "https://undergrad.engineering.utoronto.ca/contact/" \l "first-year-team" \n _blank</w:instrText>
      </w:r>
      <w:r>
        <w:rPr>
          <w:rStyle w:val="InternetLink"/>
        </w:rPr>
        <w:fldChar w:fldCharType="separate"/>
      </w:r>
      <w:r>
        <w:rPr>
          <w:rStyle w:val="InternetLink"/>
        </w:rPr>
        <w:t>first-year</w:t>
      </w:r>
      <w:r>
        <w:rPr>
          <w:rStyle w:val="InternetLink"/>
        </w:rPr>
        <w:fldChar w:fldCharType="end"/>
      </w:r>
      <w:r>
        <w:rPr/>
        <w:t xml:space="preserve"> or </w:t>
      </w:r>
      <w:r>
        <w:fldChar w:fldCharType="begin"/>
      </w:r>
      <w:r>
        <w:rPr>
          <w:rStyle w:val="InternetLink"/>
        </w:rPr>
        <w:instrText xml:space="preserve"> HYPERLINK "https://undergrad.engineering.utoronto.ca/contact/" \l "upper-year-academic-advisors" \n _blank</w:instrText>
      </w:r>
      <w:r>
        <w:rPr>
          <w:rStyle w:val="InternetLink"/>
        </w:rPr>
        <w:fldChar w:fldCharType="separate"/>
      </w:r>
      <w:r>
        <w:rPr>
          <w:rStyle w:val="InternetLink"/>
        </w:rPr>
        <w:t>upper years</w:t>
      </w:r>
      <w:r>
        <w:rPr>
          <w:rStyle w:val="InternetLink"/>
        </w:rPr>
        <w:fldChar w:fldCharType="end"/>
      </w:r>
      <w:r>
        <w:rPr/>
        <w:t xml:space="preserve"> academic advisors, student leaders or the </w:t>
      </w:r>
      <w:hyperlink r:id="rId33" w:tgtFrame="_blank">
        <w:r>
          <w:rPr>
            <w:rStyle w:val="InternetLink"/>
          </w:rPr>
          <w:t>Assistant Dean of Diversity, Inclusion and Professionalism</w:t>
        </w:r>
      </w:hyperlink>
      <w:r>
        <w:rPr/>
        <w:t>.</w:t>
        <w:br/>
        <w:br/>
      </w:r>
      <w:r>
        <w:rPr>
          <w:rStyle w:val="StrongEmphasis"/>
        </w:rPr>
        <w:t>You belong here.</w:t>
      </w:r>
      <w:r>
        <w:rPr/>
        <w:t xml:space="preserve"> In this class, the participation and perspectives of everyone is invited and encouraged. The broad range of identities and the intersections of those identities are valued and create an inclusive team environment that will help you achieve academic success. You can read the evidence for this approach </w:t>
      </w:r>
      <w:hyperlink r:id="rId34" w:tgtFrame="_blank">
        <w:r>
          <w:rPr>
            <w:rStyle w:val="InternetLink"/>
          </w:rPr>
          <w:t>here</w:t>
        </w:r>
      </w:hyperlink>
      <w:r>
        <w:rPr/>
        <w:t>.</w:t>
        <w:br/>
        <w:br/>
      </w:r>
      <w:r>
        <w:rPr>
          <w:rStyle w:val="StrongEmphasis"/>
        </w:rPr>
        <w:t xml:space="preserve">You have rights. </w:t>
      </w:r>
      <w:r>
        <w:rPr/>
        <w:t xml:space="preserve">The </w:t>
      </w:r>
      <w:hyperlink r:id="rId35" w:tgtFrame="_blank">
        <w:r>
          <w:rPr>
            <w:rStyle w:val="InternetLink"/>
          </w:rPr>
          <w:t>University Code of Student Conduct</w:t>
        </w:r>
      </w:hyperlink>
      <w:r>
        <w:rPr/>
        <w:t xml:space="preserve"> and the </w:t>
      </w:r>
      <w:hyperlink r:id="rId36" w:tgtFrame="_blank">
        <w:r>
          <w:rPr>
            <w:rStyle w:val="InternetLink"/>
          </w:rPr>
          <w:t>Ontario Human Rights Code</w:t>
        </w:r>
      </w:hyperlink>
      <w:r>
        <w:rPr/>
        <w:t xml:space="preserve"> protect you against all forms of harassment or discrimination, including but not limited to acts of racism, sexism, Islamophobia, antisemitism, homophobia, transphobia, ableism, classism and ageism. Engineering denounces unprofessionalism or intolerance in language, actions or interactions, in person or online, on- or off-campus. Engineering takes these concerns extremely seriously and you can confidentially disclose directly to the Assistant Dean for help </w:t>
      </w:r>
      <w:hyperlink r:id="rId37" w:tgtFrame="_blank">
        <w:r>
          <w:rPr>
            <w:rStyle w:val="InternetLink"/>
          </w:rPr>
          <w:t>here</w:t>
        </w:r>
      </w:hyperlink>
      <w:r>
        <w:rPr/>
        <w:t>.</w:t>
        <w:br/>
        <w:br/>
        <w:t>Resource List:</w:t>
      </w:r>
    </w:p>
    <w:p>
      <w:pPr>
        <w:pStyle w:val="TextBody"/>
        <w:numPr>
          <w:ilvl w:val="0"/>
          <w:numId w:val="4"/>
        </w:numPr>
        <w:tabs>
          <w:tab w:pos="720" w:val="clear"/>
          <w:tab w:leader="none" w:pos="0" w:val="left"/>
        </w:tabs>
        <w:spacing w:after="0" w:before="0"/>
        <w:ind w:hanging="283" w:left="709"/>
        <w:rPr/>
      </w:pPr>
      <w:hyperlink r:id="rId38" w:tgtFrame="_blank">
        <w:r>
          <w:rPr>
            <w:rStyle w:val="InternetLink"/>
          </w:rPr>
          <w:t>Engineering Equity, Diversity &amp; Inclusion Groups, Initiatives &amp; Student Resources</w:t>
        </w:r>
      </w:hyperlink>
    </w:p>
    <w:p>
      <w:pPr>
        <w:pStyle w:val="TextBody"/>
        <w:numPr>
          <w:ilvl w:val="0"/>
          <w:numId w:val="4"/>
        </w:numPr>
        <w:tabs>
          <w:tab w:pos="720" w:val="clear"/>
          <w:tab w:leader="none" w:pos="0" w:val="left"/>
        </w:tabs>
        <w:spacing w:after="0" w:before="0"/>
        <w:ind w:hanging="283" w:left="709"/>
        <w:rPr/>
      </w:pPr>
      <w:hyperlink r:id="rId39" w:tgtFrame="_blank">
        <w:r>
          <w:rPr>
            <w:rStyle w:val="InternetLink"/>
          </w:rPr>
          <w:t>Engineering Positive Space Resources</w:t>
        </w:r>
      </w:hyperlink>
    </w:p>
    <w:p>
      <w:pPr>
        <w:pStyle w:val="TextBody"/>
        <w:numPr>
          <w:ilvl w:val="0"/>
          <w:numId w:val="4"/>
        </w:numPr>
        <w:tabs>
          <w:tab w:pos="720" w:val="clear"/>
          <w:tab w:leader="none" w:pos="0" w:val="left"/>
        </w:tabs>
        <w:spacing w:after="0" w:before="0"/>
        <w:ind w:hanging="283" w:left="709"/>
        <w:rPr/>
      </w:pPr>
      <w:r>
        <w:rPr/>
        <w:t xml:space="preserve">Request a religious-based accommodation </w:t>
      </w:r>
      <w:hyperlink r:id="rId40" w:tgtFrame="_blank">
        <w:r>
          <w:rPr>
            <w:rStyle w:val="InternetLink"/>
          </w:rPr>
          <w:t>here</w:t>
        </w:r>
      </w:hyperlink>
    </w:p>
    <w:p>
      <w:pPr>
        <w:pStyle w:val="TextBody"/>
        <w:numPr>
          <w:ilvl w:val="0"/>
          <w:numId w:val="4"/>
        </w:numPr>
        <w:tabs>
          <w:tab w:pos="720" w:val="clear"/>
          <w:tab w:leader="none" w:pos="0" w:val="left"/>
        </w:tabs>
        <w:spacing w:after="0" w:before="0"/>
        <w:ind w:hanging="283" w:left="709"/>
        <w:rPr/>
      </w:pPr>
      <w:r>
        <w:rPr/>
        <w:t xml:space="preserve">Email Marisa Sterling, P.Eng, the Assistant Dean, Diversity, Inclusion &amp; Professionalism </w:t>
      </w:r>
      <w:hyperlink r:id="rId41" w:tgtFrame="_blank">
        <w:r>
          <w:rPr>
            <w:rStyle w:val="InternetLink"/>
          </w:rPr>
          <w:t>here</w:t>
        </w:r>
      </w:hyperlink>
    </w:p>
    <w:p>
      <w:pPr>
        <w:pStyle w:val="TextBody"/>
        <w:numPr>
          <w:ilvl w:val="0"/>
          <w:numId w:val="4"/>
        </w:numPr>
        <w:tabs>
          <w:tab w:pos="720" w:val="clear"/>
          <w:tab w:leader="none" w:pos="0" w:val="left"/>
        </w:tabs>
        <w:spacing w:after="0" w:before="0"/>
        <w:ind w:hanging="283" w:left="709"/>
        <w:rPr/>
      </w:pPr>
      <w:r>
        <w:rPr/>
        <w:t xml:space="preserve">Make a confidential disclosure of harassment, discrimination or unprofessionalism </w:t>
      </w:r>
      <w:hyperlink r:id="rId42" w:tgtFrame="_blank">
        <w:r>
          <w:rPr>
            <w:rStyle w:val="InternetLink"/>
          </w:rPr>
          <w:t>here</w:t>
        </w:r>
      </w:hyperlink>
      <w:r>
        <w:rPr/>
        <w:t xml:space="preserve"> or email </w:t>
      </w:r>
      <w:hyperlink r:id="rId43" w:tgtFrame="_blank">
        <w:r>
          <w:rPr>
            <w:rStyle w:val="InternetLink"/>
          </w:rPr>
          <w:t>engineering@utoronto.ca</w:t>
        </w:r>
      </w:hyperlink>
      <w:r>
        <w:rPr/>
        <w:t xml:space="preserve"> or call 416.946.3986</w:t>
      </w:r>
    </w:p>
    <w:p>
      <w:pPr>
        <w:pStyle w:val="TextBody"/>
        <w:numPr>
          <w:ilvl w:val="0"/>
          <w:numId w:val="4"/>
        </w:numPr>
        <w:tabs>
          <w:tab w:pos="720" w:val="clear"/>
          <w:tab w:leader="none" w:pos="0" w:val="left"/>
        </w:tabs>
        <w:spacing w:after="0" w:before="0"/>
        <w:ind w:hanging="283" w:left="709"/>
        <w:rPr/>
      </w:pPr>
      <w:r>
        <w:rPr/>
        <w:t xml:space="preserve">Email the Engineering Society Equity &amp; Inclusivity Director </w:t>
      </w:r>
      <w:hyperlink r:id="rId44" w:tgtFrame="_blank">
        <w:r>
          <w:rPr>
            <w:rStyle w:val="InternetLink"/>
          </w:rPr>
          <w:t>here</w:t>
        </w:r>
      </w:hyperlink>
    </w:p>
    <w:p>
      <w:pPr>
        <w:pStyle w:val="TextBody"/>
        <w:numPr>
          <w:ilvl w:val="0"/>
          <w:numId w:val="4"/>
        </w:numPr>
        <w:tabs>
          <w:tab w:pos="720" w:val="clear"/>
          <w:tab w:leader="none" w:pos="0" w:val="left"/>
        </w:tabs>
        <w:ind w:hanging="283" w:left="709"/>
        <w:rPr>
          <w:rFonts w:cs="Arial" w:eastAsia="Arial"/>
        </w:rPr>
      </w:pPr>
      <w:hyperlink r:id="rId45" w:tgtFrame="_blank">
        <w:r>
          <w:rPr>
            <w:rStyle w:val="InternetLink"/>
          </w:rPr>
          <w:t>U of T Equity Offices &amp; First Nations House Resources</w:t>
        </w:r>
      </w:hyperlink>
    </w:p>
    <w:p>
      <w:pPr>
        <w:pStyle w:val="Heading3"/>
        <w:rPr/>
      </w:pPr>
      <w:r>
        <w:rPr/>
        <w:t>Academic Integrity</w:t>
      </w:r>
    </w:p>
    <w:p>
      <w:pPr>
        <w:pStyle w:val="TextBody"/>
        <w:rPr/>
      </w:pPr>
      <w:r>
        <w:rPr/>
        <w:t xml:space="preserve">All students, faculty and staff are expected to follow the University's guidelines and policies on academic integrity. For students, this means following the standards of academic honesty when writing assignments, collaborating with fellow students, and writing tests and exams. Ensure that the work you submit for grading represents your own honest efforts. Plagiarism—representing someone else's work as your own or submitting work that you have previously submitted for marks in another class or program—is a serious offence that can result in sanctions. Speak to me or your TA for advice on anything that you find unclear. To learn more about how to cite and use source material appropriately and for other writing support, see the </w:t>
      </w:r>
      <w:hyperlink r:id="rId46" w:tgtFrame="_blank">
        <w:r>
          <w:rPr>
            <w:rStyle w:val="InternetLink"/>
          </w:rPr>
          <w:t>U of T writing support website</w:t>
        </w:r>
      </w:hyperlink>
      <w:r>
        <w:rPr/>
        <w:t xml:space="preserve">. Consult the </w:t>
      </w:r>
      <w:hyperlink r:id="rId47" w:tgtFrame="_blank">
        <w:r>
          <w:rPr>
            <w:rStyle w:val="InternetLink"/>
          </w:rPr>
          <w:t>Code of Behaviour on Academic Matters</w:t>
        </w:r>
      </w:hyperlink>
      <w:r>
        <w:rPr/>
        <w:t xml:space="preserve"> for a complete outline of the University's policy and expectations. For more information, please see the </w:t>
      </w:r>
      <w:hyperlink r:id="rId48" w:tgtFrame="_blank">
        <w:r>
          <w:rPr>
            <w:rStyle w:val="InternetLink"/>
          </w:rPr>
          <w:t>U of T Academic Integrity website</w:t>
        </w:r>
      </w:hyperlink>
      <w:r>
        <w:rPr/>
        <w:t>.</w:t>
      </w:r>
    </w:p>
    <w:p>
      <w:pPr>
        <w:pStyle w:val="Normal"/>
        <w:widowControl/>
        <w:suppressAutoHyphens w:val="true"/>
        <w:bidi w:val="0"/>
        <w:spacing w:after="160" w:before="0" w:line="259" w:lineRule="auto"/>
        <w:jc w:val="left"/>
        <w:rPr/>
      </w:pPr>
      <w:r>
        <w:rPr/>
      </w:r>
    </w:p>
    <w:sectPr>
      <w:headerReference r:id="rId49" w:type="default"/>
      <w:headerReference r:id="rId50" w:type="first"/>
      <w:footerReference r:id="rId51" w:type="default"/>
      <w:footerReference r:id="rId52" w:type="first"/>
      <w:type w:val="nextPage"/>
      <w:pgSz w:h="15840" w:w="12240"/>
      <w:pgMar w:bottom="777" w:footer="720" w:gutter="0" w:header="720" w:left="1440" w:right="1440" w:top="777"/>
      <w:pgNumType w:fmt="decimal"/>
      <w:formProt w:val="false"/>
      <w:titlePg/>
      <w:textDirection w:val="lrTb"/>
      <w:docGrid w:charSpace="4096" w:linePitch="360" w:type="default"/>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Arial">
    <w:charset w:val="01"/>
    <w:family w:val="roman"/>
    <w:pitch w:val="variable"/>
  </w:font>
  <w:font w:name="Times New Roman">
    <w:charset w:val="01"/>
    <w:family w:val="roman"/>
    <w:pitch w:val="variable"/>
  </w:font>
  <w:font w:name="Courier New">
    <w:charset w:val="01"/>
    <w:family w:val="roman"/>
    <w:pitch w:val="variable"/>
  </w:font>
  <w:font w:name="OpenSymbol">
    <w:altName w:val="Arial Unicode MS"/>
    <w:charset w:val="02"/>
    <w:family w:val="auto"/>
    <w:pitch w:val="default"/>
    <w:embedRegular r:id="rId5" w:fontKey="{05014A78-CABC-4EF0-12AC-5CD89AEFDE05}"/>
  </w:font>
  <w:font w:name="Liberation Sans">
    <w:altName w:val="Arial"/>
    <w:charset w:val="01"/>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Mono">
    <w:altName w:val="Courier New"/>
    <w:charset w:val="01"/>
    <w:family w:val="modern"/>
    <w:pitch w:val="fixed"/>
    <w:embedRegular r:id="rId10" w:fontKey="{0A014A78-CABC-4EF0-12AC-5CD89AEFDE0A}"/>
    <w:embedBold r:id="rId11" w:fontKey="{0B014A78-CABC-4EF0-12AC-5CD89AEFDE0B}"/>
    <w:embedItalic r:id="rId12" w:fontKey="{0C014A78-CABC-4EF0-12AC-5CD89AEFDE0C}"/>
    <w:embedBoldItalic r:id="rId13" w:fontKey="{0D014A78-CABC-4EF0-12AC-5CD89AEFDE0D}"/>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Footer"/>
      <w:tabs>
        <w:tab w:pos="4680" w:val="clear"/>
        <w:tab w:leader="none" w:pos="9360" w:val="right"/>
      </w:tabs>
      <w:rPr/>
    </w:pPr>
    <w:r>
      <w:rPr>
        <w:color w:val="808080"/>
        <w:sz w:val="20"/>
        <w:szCs w:val="20"/>
      </w:rPr>
      <w:t xml:space="preserve">ECE516H1 S Syllabus – Valid as of </w:t>
    </w:r>
    <w:r>
      <w:rPr>
        <w:color w:val="808080"/>
        <w:sz w:val="20"/>
        <w:szCs w:val="20"/>
      </w:rPr>
      <w:fldChar w:fldCharType="begin"/>
    </w:r>
    <w:r>
      <w:rPr>
        <w:sz w:val="20"/>
        <w:szCs w:val="20"/>
        <w:color w:val="808080"/>
      </w:rPr>
      <w:instrText xml:space="preserve"> DATE \@"yyyy-MM-dd" </w:instrText>
    </w:r>
    <w:r>
      <w:rPr>
        <w:sz w:val="20"/>
        <w:szCs w:val="20"/>
        <w:color w:val="808080"/>
      </w:rPr>
      <w:fldChar w:fldCharType="separate"/>
    </w:r>
    <w:r>
      <w:rPr>
        <w:sz w:val="20"/>
        <w:szCs w:val="20"/>
        <w:color w:val="808080"/>
      </w:rPr>
      <w:t>2025-01-07</w:t>
    </w:r>
    <w:r>
      <w:rPr>
        <w:sz w:val="20"/>
        <w:szCs w:val="20"/>
        <w:color w:val="808080"/>
      </w:rPr>
      <w:fldChar w:fldCharType="end"/>
    </w:r>
    <w:r>
      <w:rPr>
        <w:color w:val="808080"/>
        <w:sz w:val="20"/>
        <w:szCs w:val="20"/>
      </w:rPr>
      <w:tab/>
      <w:t xml:space="preserve">Page </w:t>
    </w:r>
    <w:r>
      <w:rPr>
        <w:color w:val="808080"/>
        <w:sz w:val="20"/>
        <w:szCs w:val="20"/>
      </w:rPr>
      <w:fldChar w:fldCharType="begin"/>
    </w:r>
    <w:r>
      <w:rPr>
        <w:sz w:val="20"/>
        <w:szCs w:val="20"/>
        <w:color w:val="808080"/>
      </w:rPr>
      <w:instrText xml:space="preserve"> PAGE </w:instrText>
    </w:r>
    <w:r>
      <w:rPr>
        <w:sz w:val="20"/>
        <w:szCs w:val="20"/>
        <w:color w:val="808080"/>
      </w:rPr>
      <w:fldChar w:fldCharType="separate"/>
    </w:r>
    <w:r>
      <w:rPr>
        <w:sz w:val="20"/>
        <w:szCs w:val="20"/>
        <w:color w:val="808080"/>
      </w:rPr>
      <w:t>5</w:t>
    </w:r>
    <w:r>
      <w:rPr>
        <w:sz w:val="20"/>
        <w:szCs w:val="20"/>
        <w:color w:val="808080"/>
      </w:rPr>
      <w:fldChar w:fldCharType="end"/>
    </w:r>
  </w:p>
  <w:p>
    <w:pPr>
      <w:pStyle w:val="Footer"/>
      <w:rPr/>
    </w:pPr>
    <w:r>
      <w:rPr/>
    </w:r>
  </w:p>
</w:ftr>
</file>

<file path=word/footer2.xml><?xml version="1.0" encoding="utf-8"?>
<w:ft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Footer"/>
      <w:tabs>
        <w:tab w:pos="4680" w:val="clear"/>
        <w:tab w:leader="none" w:pos="9360" w:val="right"/>
      </w:tabs>
      <w:rPr/>
    </w:pPr>
    <w:r>
      <w:rPr>
        <w:color w:val="808080"/>
        <w:sz w:val="20"/>
        <w:szCs w:val="20"/>
      </w:rPr>
      <w:t xml:space="preserve">ECE516H1 S Syllabus – Valid as of </w:t>
    </w:r>
    <w:r>
      <w:rPr>
        <w:color w:val="808080"/>
        <w:sz w:val="20"/>
        <w:szCs w:val="20"/>
      </w:rPr>
      <w:fldChar w:fldCharType="begin"/>
    </w:r>
    <w:r>
      <w:rPr>
        <w:sz w:val="20"/>
        <w:szCs w:val="20"/>
        <w:color w:val="808080"/>
      </w:rPr>
      <w:instrText xml:space="preserve"> DATE \@"yyyy-MM-dd" </w:instrText>
    </w:r>
    <w:r>
      <w:rPr>
        <w:sz w:val="20"/>
        <w:szCs w:val="20"/>
        <w:color w:val="808080"/>
      </w:rPr>
      <w:fldChar w:fldCharType="separate"/>
    </w:r>
    <w:r>
      <w:rPr>
        <w:sz w:val="20"/>
        <w:szCs w:val="20"/>
        <w:color w:val="808080"/>
      </w:rPr>
      <w:t>2025-01-07</w:t>
    </w:r>
    <w:r>
      <w:rPr>
        <w:sz w:val="20"/>
        <w:szCs w:val="20"/>
        <w:color w:val="808080"/>
      </w:rPr>
      <w:fldChar w:fldCharType="end"/>
    </w:r>
    <w:r>
      <w:rPr>
        <w:color w:val="808080"/>
        <w:sz w:val="20"/>
        <w:szCs w:val="20"/>
      </w:rPr>
      <w:tab/>
      <w:t xml:space="preserve">Page </w:t>
    </w:r>
    <w:r>
      <w:rPr>
        <w:color w:val="808080"/>
        <w:sz w:val="20"/>
        <w:szCs w:val="20"/>
      </w:rPr>
      <w:fldChar w:fldCharType="begin"/>
    </w:r>
    <w:r>
      <w:rPr>
        <w:sz w:val="20"/>
        <w:szCs w:val="20"/>
        <w:color w:val="808080"/>
      </w:rPr>
      <w:instrText xml:space="preserve"> PAGE </w:instrText>
    </w:r>
    <w:r>
      <w:rPr>
        <w:sz w:val="20"/>
        <w:szCs w:val="20"/>
        <w:color w:val="808080"/>
      </w:rPr>
      <w:fldChar w:fldCharType="separate"/>
    </w:r>
    <w:r>
      <w:rPr>
        <w:sz w:val="20"/>
        <w:szCs w:val="20"/>
        <w:color w:val="808080"/>
      </w:rPr>
      <w:t>1</w:t>
    </w:r>
    <w:r>
      <w:rPr>
        <w:sz w:val="20"/>
        <w:szCs w:val="20"/>
        <w:color w:val="808080"/>
      </w:rPr>
      <w:fldChar w:fldCharType="end"/>
    </w:r>
  </w:p>
</w:ftr>
</file>

<file path=word/header1.xml><?xml version="1.0" encoding="utf-8"?>
<w:hd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tbl>
    <w:tblPr>
      <w:tblW w:type="dxa" w:w="9360"/>
      <w:jc w:val="left"/>
      <w:tblInd w:type="dxa" w:w="0"/>
      <w:tblLayout w:type="fixed"/>
      <w:tblCellMar>
        <w:top w:type="dxa" w:w="0"/>
        <w:left w:type="dxa" w:w="108"/>
        <w:bottom w:type="dxa" w:w="0"/>
        <w:right w:type="dxa" w:w="108"/>
      </w:tblCellMar>
    </w:tblPr>
    <w:tblGrid>
      <w:gridCol w:w="3120"/>
      <w:gridCol w:w="3120"/>
      <w:gridCol w:w="3120"/>
    </w:tblGrid>
    <w:tr>
      <w:trPr/>
      <w:tc>
        <w:tcPr>
          <w:tcW w:type="dxa" w:w="3120"/>
          <w:tcBorders/>
        </w:tcPr>
        <w:p>
          <w:pPr>
            <w:pStyle w:val="Header"/>
            <w:widowControl w:val="false"/>
            <w:ind w:hanging="0" w:left="-115" w:right="0"/>
            <w:rPr/>
          </w:pPr>
          <w:r>
            <w:rPr/>
          </w:r>
        </w:p>
      </w:tc>
      <w:tc>
        <w:tcPr>
          <w:tcW w:type="dxa" w:w="3120"/>
          <w:tcBorders/>
        </w:tcPr>
        <w:p>
          <w:pPr>
            <w:pStyle w:val="Header"/>
            <w:widowControl w:val="false"/>
            <w:jc w:val="center"/>
            <w:rPr/>
          </w:pPr>
          <w:r>
            <w:rPr/>
          </w:r>
        </w:p>
      </w:tc>
      <w:tc>
        <w:tcPr>
          <w:tcW w:type="dxa" w:w="3120"/>
          <w:tcBorders/>
        </w:tcPr>
        <w:p>
          <w:pPr>
            <w:pStyle w:val="Header"/>
            <w:widowControl w:val="false"/>
            <w:ind w:hanging="0" w:left="0" w:right="-115"/>
            <w:jc w:val="right"/>
            <w:rPr/>
          </w:pPr>
          <w:r>
            <w:rPr/>
          </w:r>
        </w:p>
      </w:tc>
    </w:tr>
  </w:tbl>
  <w:p>
    <w:pPr>
      <w:pStyle w:val="Header"/>
      <w:rPr/>
    </w:pPr>
    <w:r>
      <w:rPr/>
    </w:r>
  </w:p>
</w:hdr>
</file>

<file path=word/header2.xml><?xml version="1.0" encoding="utf-8"?>
<w:hdr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14="http://schemas.microsoft.com/office/word/2010/wordprocessingDrawing" xmlns:wpg="http://schemas.microsoft.com/office/word/2010/wordprocessingGroup" xmlns:wps="http://schemas.microsoft.com/office/word/2010/wordprocessingShape" mc:Ignorable="w14 wp14 w15">
  <w:p>
    <w:pPr>
      <w:pStyle w:val="HTMLPreformatted"/>
      <w:shd w:fill="FFFFFF" w:val="clear"/>
      <w:rPr>
        <w:rFonts w:ascii="Arial" w:cs="Arial" w:hAnsi="Arial"/>
      </w:rPr>
    </w:pPr>
    <w:r>
      <w:rPr>
        <w:rFonts w:ascii="Arial" w:cs="Arial" w:hAnsi="Arial"/>
      </w:rPr>
      <w:t>Faculty of Applied Science and Engineering - Edward S. Rogers Sr. Dept. of Electrical &amp; Computer Engin.</w:t>
    </w:r>
  </w:p>
</w:hdr>
</file>

<file path=word/numbering.xml><?xml version="1.0" encoding="utf-8"?>
<w:numbering xmlns:mc="http://schemas.openxmlformats.org/markup-compatibility/2006" xmlns:o="urn:schemas-microsoft-com:office:office" xmlns:r="http://schemas.openxmlformats.org/officeDocument/2006/relationships" xmlns:v="urn:schemas-microsoft-com:vml" xmlns:w="http://schemas.openxmlformats.org/wordprocessingml/2006/main" xmlns:w14="http://schemas.microsoft.com/office/word/2010/wordml" mc:Ignorable="w14">
  <w:abstractNum w:abstractNumId="1">
    <w:lvl w:ilvl="0">
      <w:start w:val="1"/>
      <w:numFmt w:val="none"/>
      <w:suff w:val="nothing"/>
      <w:lvlText w:val="%1"/>
      <w:lvlJc w:val="left"/>
      <w:pPr>
        <w:tabs>
          <w:tab w:pos="0" w:val="num"/>
        </w:tabs>
        <w:ind w:hanging="0" w:left="0"/>
      </w:pPr>
    </w:lvl>
    <w:lvl w:ilvl="1">
      <w:start w:val="1"/>
      <w:numFmt w:val="none"/>
      <w:suff w:val="nothing"/>
      <w:lvlText w:val="%2"/>
      <w:lvlJc w:val="left"/>
      <w:pPr>
        <w:tabs>
          <w:tab w:pos="0" w:val="num"/>
        </w:tabs>
        <w:ind w:hanging="0" w:left="0"/>
      </w:pPr>
    </w:lvl>
    <w:lvl w:ilvl="2">
      <w:start w:val="1"/>
      <w:numFmt w:val="none"/>
      <w:suff w:val="nothing"/>
      <w:lvlText w:val="%3"/>
      <w:lvlJc w:val="left"/>
      <w:pPr>
        <w:tabs>
          <w:tab w:pos="0" w:val="num"/>
        </w:tabs>
        <w:ind w:hanging="0" w:left="0"/>
      </w:pPr>
    </w:lvl>
    <w:lvl w:ilvl="3">
      <w:start w:val="1"/>
      <w:numFmt w:val="none"/>
      <w:suff w:val="nothing"/>
      <w:lvlText w:val="%4"/>
      <w:lvlJc w:val="left"/>
      <w:pPr>
        <w:tabs>
          <w:tab w:pos="0" w:val="num"/>
        </w:tabs>
        <w:ind w:hanging="0" w:left="0"/>
      </w:pPr>
    </w:lvl>
    <w:lvl w:ilvl="4">
      <w:start w:val="1"/>
      <w:numFmt w:val="none"/>
      <w:suff w:val="nothing"/>
      <w:lvlText w:val="%5"/>
      <w:lvlJc w:val="left"/>
      <w:pPr>
        <w:tabs>
          <w:tab w:pos="0" w:val="num"/>
        </w:tabs>
        <w:ind w:hanging="0" w:left="0"/>
      </w:pPr>
    </w:lvl>
    <w:lvl w:ilvl="5">
      <w:start w:val="1"/>
      <w:numFmt w:val="none"/>
      <w:suff w:val="nothing"/>
      <w:lvlText w:val="%6"/>
      <w:lvlJc w:val="left"/>
      <w:pPr>
        <w:tabs>
          <w:tab w:pos="0" w:val="num"/>
        </w:tabs>
        <w:ind w:hanging="0" w:left="0"/>
      </w:pPr>
    </w:lvl>
    <w:lvl w:ilvl="6">
      <w:start w:val="1"/>
      <w:numFmt w:val="none"/>
      <w:suff w:val="nothing"/>
      <w:lvlText w:val="%7"/>
      <w:lvlJc w:val="left"/>
      <w:pPr>
        <w:tabs>
          <w:tab w:pos="0" w:val="num"/>
        </w:tabs>
        <w:ind w:hanging="0" w:left="0"/>
      </w:pPr>
    </w:lvl>
    <w:lvl w:ilvl="7">
      <w:start w:val="1"/>
      <w:numFmt w:val="none"/>
      <w:suff w:val="nothing"/>
      <w:lvlText w:val="%8"/>
      <w:lvlJc w:val="left"/>
      <w:pPr>
        <w:tabs>
          <w:tab w:pos="0" w:val="num"/>
        </w:tabs>
        <w:ind w:hanging="0" w:left="0"/>
      </w:pPr>
    </w:lvl>
    <w:lvl w:ilvl="8">
      <w:start w:val="1"/>
      <w:numFmt w:val="none"/>
      <w:suff w:val="nothing"/>
      <w:lvlText w:val="%9"/>
      <w:lvlJc w:val="left"/>
      <w:pPr>
        <w:tabs>
          <w:tab w:pos="0" w:val="num"/>
        </w:tabs>
        <w:ind w:hanging="0" w:left="0"/>
      </w:pPr>
    </w:lvl>
  </w:abstractNum>
  <w:abstractNum w:abstractNumId="2">
    <w:lvl w:ilvl="0">
      <w:start w:val="1"/>
      <w:numFmt w:val="bullet"/>
      <w:lvlText w:val=""/>
      <w:lvlJc w:val="left"/>
      <w:pPr>
        <w:tabs>
          <w:tab w:pos="0" w:val="num"/>
        </w:tabs>
        <w:ind w:hanging="360" w:left="720"/>
      </w:pPr>
      <w:rPr>
        <w:rFonts w:ascii="Symbol" w:cs="Symbol" w:hAnsi="Symbol" w:hint="default"/>
      </w:rPr>
    </w:lvl>
    <w:lvl w:ilvl="1">
      <w:start w:val="1"/>
      <w:numFmt w:val="bullet"/>
      <w:lvlText w:val="o"/>
      <w:lvlJc w:val="left"/>
      <w:pPr>
        <w:tabs>
          <w:tab w:pos="0" w:val="num"/>
        </w:tabs>
        <w:ind w:hanging="360" w:left="1440"/>
      </w:pPr>
      <w:rPr>
        <w:rFonts w:ascii="Courier New" w:cs="Courier New" w:hAnsi="Courier New" w:hint="default"/>
      </w:rPr>
    </w:lvl>
    <w:lvl w:ilvl="2">
      <w:start w:val="1"/>
      <w:numFmt w:val="bullet"/>
      <w:lvlText w:val=""/>
      <w:lvlJc w:val="left"/>
      <w:pPr>
        <w:tabs>
          <w:tab w:pos="0" w:val="num"/>
        </w:tabs>
        <w:ind w:hanging="360" w:left="2160"/>
      </w:pPr>
      <w:rPr>
        <w:rFonts w:ascii="Wingdings" w:cs="Wingdings" w:hAnsi="Wingdings" w:hint="default"/>
      </w:rPr>
    </w:lvl>
    <w:lvl w:ilvl="3">
      <w:start w:val="1"/>
      <w:numFmt w:val="bullet"/>
      <w:lvlText w:val=""/>
      <w:lvlJc w:val="left"/>
      <w:pPr>
        <w:tabs>
          <w:tab w:pos="0" w:val="num"/>
        </w:tabs>
        <w:ind w:hanging="360" w:left="2880"/>
      </w:pPr>
      <w:rPr>
        <w:rFonts w:ascii="Symbol" w:cs="Symbol" w:hAnsi="Symbol" w:hint="default"/>
      </w:rPr>
    </w:lvl>
    <w:lvl w:ilvl="4">
      <w:start w:val="1"/>
      <w:numFmt w:val="bullet"/>
      <w:lvlText w:val="o"/>
      <w:lvlJc w:val="left"/>
      <w:pPr>
        <w:tabs>
          <w:tab w:pos="0" w:val="num"/>
        </w:tabs>
        <w:ind w:hanging="360" w:left="3600"/>
      </w:pPr>
      <w:rPr>
        <w:rFonts w:ascii="Courier New" w:cs="Courier New" w:hAnsi="Courier New" w:hint="default"/>
      </w:rPr>
    </w:lvl>
    <w:lvl w:ilvl="5">
      <w:start w:val="1"/>
      <w:numFmt w:val="bullet"/>
      <w:lvlText w:val=""/>
      <w:lvlJc w:val="left"/>
      <w:pPr>
        <w:tabs>
          <w:tab w:pos="0" w:val="num"/>
        </w:tabs>
        <w:ind w:hanging="360" w:left="4320"/>
      </w:pPr>
      <w:rPr>
        <w:rFonts w:ascii="Wingdings" w:cs="Wingdings" w:hAnsi="Wingdings" w:hint="default"/>
      </w:rPr>
    </w:lvl>
    <w:lvl w:ilvl="6">
      <w:start w:val="1"/>
      <w:numFmt w:val="bullet"/>
      <w:lvlText w:val=""/>
      <w:lvlJc w:val="left"/>
      <w:pPr>
        <w:tabs>
          <w:tab w:pos="0" w:val="num"/>
        </w:tabs>
        <w:ind w:hanging="360" w:left="5040"/>
      </w:pPr>
      <w:rPr>
        <w:rFonts w:ascii="Symbol" w:cs="Symbol" w:hAnsi="Symbol" w:hint="default"/>
      </w:rPr>
    </w:lvl>
    <w:lvl w:ilvl="7">
      <w:start w:val="1"/>
      <w:numFmt w:val="bullet"/>
      <w:lvlText w:val="o"/>
      <w:lvlJc w:val="left"/>
      <w:pPr>
        <w:tabs>
          <w:tab w:pos="0" w:val="num"/>
        </w:tabs>
        <w:ind w:hanging="360" w:left="5760"/>
      </w:pPr>
      <w:rPr>
        <w:rFonts w:ascii="Courier New" w:cs="Courier New" w:hAnsi="Courier New" w:hint="default"/>
      </w:rPr>
    </w:lvl>
    <w:lvl w:ilvl="8">
      <w:start w:val="1"/>
      <w:numFmt w:val="bullet"/>
      <w:lvlText w:val=""/>
      <w:lvlJc w:val="left"/>
      <w:pPr>
        <w:tabs>
          <w:tab w:pos="0" w:val="num"/>
        </w:tabs>
        <w:ind w:hanging="360" w:left="6480"/>
      </w:pPr>
      <w:rPr>
        <w:rFonts w:ascii="Wingdings" w:cs="Wingdings" w:hAnsi="Wingdings" w:hint="default"/>
      </w:rPr>
    </w:lvl>
  </w:abstractNum>
  <w:abstractNum w:abstractNumId="3">
    <w:lvl w:ilvl="0">
      <w:start w:val="1"/>
      <w:numFmt w:val="bullet"/>
      <w:lvlText w:val=""/>
      <w:lvlJc w:val="left"/>
      <w:pPr>
        <w:tabs>
          <w:tab w:pos="709" w:val="num"/>
        </w:tabs>
        <w:ind w:hanging="283" w:left="709"/>
      </w:pPr>
      <w:rPr>
        <w:rFonts w:ascii="Symbol" w:cs="Symbol" w:hAnsi="Symbol" w:hint="default"/>
      </w:rPr>
    </w:lvl>
    <w:lvl w:ilvl="1">
      <w:start w:val="1"/>
      <w:numFmt w:val="bullet"/>
      <w:lvlText w:val=""/>
      <w:lvlJc w:val="left"/>
      <w:pPr>
        <w:tabs>
          <w:tab w:pos="1418" w:val="num"/>
        </w:tabs>
        <w:ind w:hanging="283" w:left="1418"/>
      </w:pPr>
      <w:rPr>
        <w:rFonts w:ascii="Symbol" w:cs="Symbol" w:hAnsi="Symbol" w:hint="default"/>
      </w:rPr>
    </w:lvl>
    <w:lvl w:ilvl="2">
      <w:start w:val="1"/>
      <w:numFmt w:val="bullet"/>
      <w:lvlText w:val=""/>
      <w:lvlJc w:val="left"/>
      <w:pPr>
        <w:tabs>
          <w:tab w:pos="2127" w:val="num"/>
        </w:tabs>
        <w:ind w:hanging="283" w:left="2127"/>
      </w:pPr>
      <w:rPr>
        <w:rFonts w:ascii="Symbol" w:cs="Symbol" w:hAnsi="Symbol" w:hint="default"/>
      </w:rPr>
    </w:lvl>
    <w:lvl w:ilvl="3">
      <w:start w:val="1"/>
      <w:numFmt w:val="bullet"/>
      <w:lvlText w:val=""/>
      <w:lvlJc w:val="left"/>
      <w:pPr>
        <w:tabs>
          <w:tab w:pos="2836" w:val="num"/>
        </w:tabs>
        <w:ind w:hanging="283" w:left="2836"/>
      </w:pPr>
      <w:rPr>
        <w:rFonts w:ascii="Symbol" w:cs="Symbol" w:hAnsi="Symbol" w:hint="default"/>
      </w:rPr>
    </w:lvl>
    <w:lvl w:ilvl="4">
      <w:start w:val="1"/>
      <w:numFmt w:val="bullet"/>
      <w:lvlText w:val=""/>
      <w:lvlJc w:val="left"/>
      <w:pPr>
        <w:tabs>
          <w:tab w:pos="3545" w:val="num"/>
        </w:tabs>
        <w:ind w:hanging="283" w:left="3545"/>
      </w:pPr>
      <w:rPr>
        <w:rFonts w:ascii="Symbol" w:cs="Symbol" w:hAnsi="Symbol" w:hint="default"/>
      </w:rPr>
    </w:lvl>
    <w:lvl w:ilvl="5">
      <w:start w:val="1"/>
      <w:numFmt w:val="bullet"/>
      <w:lvlText w:val=""/>
      <w:lvlJc w:val="left"/>
      <w:pPr>
        <w:tabs>
          <w:tab w:pos="4254" w:val="num"/>
        </w:tabs>
        <w:ind w:hanging="283" w:left="4254"/>
      </w:pPr>
      <w:rPr>
        <w:rFonts w:ascii="Symbol" w:cs="Symbol" w:hAnsi="Symbol" w:hint="default"/>
      </w:rPr>
    </w:lvl>
    <w:lvl w:ilvl="6">
      <w:start w:val="1"/>
      <w:numFmt w:val="bullet"/>
      <w:lvlText w:val=""/>
      <w:lvlJc w:val="left"/>
      <w:pPr>
        <w:tabs>
          <w:tab w:pos="4963" w:val="num"/>
        </w:tabs>
        <w:ind w:hanging="283" w:left="4963"/>
      </w:pPr>
      <w:rPr>
        <w:rFonts w:ascii="Symbol" w:cs="Symbol" w:hAnsi="Symbol" w:hint="default"/>
      </w:rPr>
    </w:lvl>
    <w:lvl w:ilvl="7">
      <w:start w:val="1"/>
      <w:numFmt w:val="bullet"/>
      <w:lvlText w:val=""/>
      <w:lvlJc w:val="left"/>
      <w:pPr>
        <w:tabs>
          <w:tab w:pos="5672" w:val="num"/>
        </w:tabs>
        <w:ind w:hanging="283" w:left="5672"/>
      </w:pPr>
      <w:rPr>
        <w:rFonts w:ascii="Symbol" w:cs="Symbol" w:hAnsi="Symbol" w:hint="default"/>
      </w:rPr>
    </w:lvl>
    <w:lvl w:ilvl="8">
      <w:start w:val="1"/>
      <w:numFmt w:val="bullet"/>
      <w:lvlText w:val=""/>
      <w:lvlJc w:val="left"/>
      <w:pPr>
        <w:tabs>
          <w:tab w:pos="6381" w:val="num"/>
        </w:tabs>
        <w:ind w:hanging="283" w:left="6381"/>
      </w:pPr>
      <w:rPr>
        <w:rFonts w:ascii="Symbol" w:cs="Symbol" w:hAnsi="Symbol" w:hint="default"/>
      </w:rPr>
    </w:lvl>
  </w:abstractNum>
  <w:abstractNum w:abstractNumId="4">
    <w:lvl w:ilvl="0">
      <w:start w:val="1"/>
      <w:numFmt w:val="bullet"/>
      <w:lvlText w:val=""/>
      <w:lvlJc w:val="left"/>
      <w:pPr>
        <w:tabs>
          <w:tab w:pos="709" w:val="num"/>
        </w:tabs>
        <w:ind w:hanging="283" w:left="709"/>
      </w:pPr>
      <w:rPr>
        <w:rFonts w:ascii="Symbol" w:cs="Symbol" w:hAnsi="Symbol" w:hint="default"/>
      </w:rPr>
    </w:lvl>
    <w:lvl w:ilvl="1">
      <w:start w:val="1"/>
      <w:numFmt w:val="bullet"/>
      <w:lvlText w:val=""/>
      <w:lvlJc w:val="left"/>
      <w:pPr>
        <w:tabs>
          <w:tab w:pos="1418" w:val="num"/>
        </w:tabs>
        <w:ind w:hanging="283" w:left="1418"/>
      </w:pPr>
      <w:rPr>
        <w:rFonts w:ascii="Symbol" w:cs="Symbol" w:hAnsi="Symbol" w:hint="default"/>
      </w:rPr>
    </w:lvl>
    <w:lvl w:ilvl="2">
      <w:start w:val="1"/>
      <w:numFmt w:val="bullet"/>
      <w:lvlText w:val=""/>
      <w:lvlJc w:val="left"/>
      <w:pPr>
        <w:tabs>
          <w:tab w:pos="2127" w:val="num"/>
        </w:tabs>
        <w:ind w:hanging="283" w:left="2127"/>
      </w:pPr>
      <w:rPr>
        <w:rFonts w:ascii="Symbol" w:cs="Symbol" w:hAnsi="Symbol" w:hint="default"/>
      </w:rPr>
    </w:lvl>
    <w:lvl w:ilvl="3">
      <w:start w:val="1"/>
      <w:numFmt w:val="bullet"/>
      <w:lvlText w:val=""/>
      <w:lvlJc w:val="left"/>
      <w:pPr>
        <w:tabs>
          <w:tab w:pos="2836" w:val="num"/>
        </w:tabs>
        <w:ind w:hanging="283" w:left="2836"/>
      </w:pPr>
      <w:rPr>
        <w:rFonts w:ascii="Symbol" w:cs="Symbol" w:hAnsi="Symbol" w:hint="default"/>
      </w:rPr>
    </w:lvl>
    <w:lvl w:ilvl="4">
      <w:start w:val="1"/>
      <w:numFmt w:val="bullet"/>
      <w:lvlText w:val=""/>
      <w:lvlJc w:val="left"/>
      <w:pPr>
        <w:tabs>
          <w:tab w:pos="3545" w:val="num"/>
        </w:tabs>
        <w:ind w:hanging="283" w:left="3545"/>
      </w:pPr>
      <w:rPr>
        <w:rFonts w:ascii="Symbol" w:cs="Symbol" w:hAnsi="Symbol" w:hint="default"/>
      </w:rPr>
    </w:lvl>
    <w:lvl w:ilvl="5">
      <w:start w:val="1"/>
      <w:numFmt w:val="bullet"/>
      <w:lvlText w:val=""/>
      <w:lvlJc w:val="left"/>
      <w:pPr>
        <w:tabs>
          <w:tab w:pos="4254" w:val="num"/>
        </w:tabs>
        <w:ind w:hanging="283" w:left="4254"/>
      </w:pPr>
      <w:rPr>
        <w:rFonts w:ascii="Symbol" w:cs="Symbol" w:hAnsi="Symbol" w:hint="default"/>
      </w:rPr>
    </w:lvl>
    <w:lvl w:ilvl="6">
      <w:start w:val="1"/>
      <w:numFmt w:val="bullet"/>
      <w:lvlText w:val=""/>
      <w:lvlJc w:val="left"/>
      <w:pPr>
        <w:tabs>
          <w:tab w:pos="4963" w:val="num"/>
        </w:tabs>
        <w:ind w:hanging="283" w:left="4963"/>
      </w:pPr>
      <w:rPr>
        <w:rFonts w:ascii="Symbol" w:cs="Symbol" w:hAnsi="Symbol" w:hint="default"/>
      </w:rPr>
    </w:lvl>
    <w:lvl w:ilvl="7">
      <w:start w:val="1"/>
      <w:numFmt w:val="bullet"/>
      <w:lvlText w:val=""/>
      <w:lvlJc w:val="left"/>
      <w:pPr>
        <w:tabs>
          <w:tab w:pos="5672" w:val="num"/>
        </w:tabs>
        <w:ind w:hanging="283" w:left="5672"/>
      </w:pPr>
      <w:rPr>
        <w:rFonts w:ascii="Symbol" w:cs="Symbol" w:hAnsi="Symbol" w:hint="default"/>
      </w:rPr>
    </w:lvl>
    <w:lvl w:ilvl="8">
      <w:start w:val="1"/>
      <w:numFmt w:val="bullet"/>
      <w:lvlText w:val=""/>
      <w:lvlJc w:val="left"/>
      <w:pPr>
        <w:tabs>
          <w:tab w:pos="6381" w:val="num"/>
        </w:tabs>
        <w:ind w:hanging="283" w:left="6381"/>
      </w:pPr>
      <w:rPr>
        <w:rFonts w:ascii="Symbol" w:cs="Symbol" w:hAnsi="Symbol" w:hint="default"/>
      </w:rPr>
    </w:lvl>
  </w:abstractNum>
  <w:abstractNum w:abstractNumId="5">
    <w:lvl w:ilvl="0">
      <w:start w:val="1"/>
      <w:numFmt w:val="bullet"/>
      <w:lvlText w:val=""/>
      <w:lvlJc w:val="left"/>
      <w:pPr>
        <w:tabs>
          <w:tab w:pos="0" w:val="num"/>
        </w:tabs>
        <w:ind w:hanging="360" w:left="720"/>
      </w:pPr>
      <w:rPr>
        <w:rFonts w:ascii="Symbol" w:cs="Symbol" w:hAnsi="Symbol" w:hint="default"/>
      </w:rPr>
    </w:lvl>
    <w:lvl w:ilvl="1">
      <w:start w:val="1"/>
      <w:numFmt w:val="bullet"/>
      <w:lvlText w:val="o"/>
      <w:lvlJc w:val="left"/>
      <w:pPr>
        <w:tabs>
          <w:tab w:pos="0" w:val="num"/>
        </w:tabs>
        <w:ind w:hanging="360" w:left="1440"/>
      </w:pPr>
      <w:rPr>
        <w:rFonts w:ascii="Courier New" w:cs="Courier New" w:hAnsi="Courier New" w:hint="default"/>
      </w:rPr>
    </w:lvl>
    <w:lvl w:ilvl="2">
      <w:start w:val="1"/>
      <w:numFmt w:val="bullet"/>
      <w:lvlText w:val=""/>
      <w:lvlJc w:val="left"/>
      <w:pPr>
        <w:tabs>
          <w:tab w:pos="0" w:val="num"/>
        </w:tabs>
        <w:ind w:hanging="360" w:left="2160"/>
      </w:pPr>
      <w:rPr>
        <w:rFonts w:ascii="Wingdings" w:cs="Wingdings" w:hAnsi="Wingdings" w:hint="default"/>
      </w:rPr>
    </w:lvl>
    <w:lvl w:ilvl="3">
      <w:start w:val="1"/>
      <w:numFmt w:val="bullet"/>
      <w:lvlText w:val=""/>
      <w:lvlJc w:val="left"/>
      <w:pPr>
        <w:tabs>
          <w:tab w:pos="0" w:val="num"/>
        </w:tabs>
        <w:ind w:hanging="360" w:left="2880"/>
      </w:pPr>
      <w:rPr>
        <w:rFonts w:ascii="Symbol" w:cs="Symbol" w:hAnsi="Symbol" w:hint="default"/>
      </w:rPr>
    </w:lvl>
    <w:lvl w:ilvl="4">
      <w:start w:val="1"/>
      <w:numFmt w:val="bullet"/>
      <w:lvlText w:val="o"/>
      <w:lvlJc w:val="left"/>
      <w:pPr>
        <w:tabs>
          <w:tab w:pos="0" w:val="num"/>
        </w:tabs>
        <w:ind w:hanging="360" w:left="3600"/>
      </w:pPr>
      <w:rPr>
        <w:rFonts w:ascii="Courier New" w:cs="Courier New" w:hAnsi="Courier New" w:hint="default"/>
      </w:rPr>
    </w:lvl>
    <w:lvl w:ilvl="5">
      <w:start w:val="1"/>
      <w:numFmt w:val="bullet"/>
      <w:lvlText w:val=""/>
      <w:lvlJc w:val="left"/>
      <w:pPr>
        <w:tabs>
          <w:tab w:pos="0" w:val="num"/>
        </w:tabs>
        <w:ind w:hanging="360" w:left="4320"/>
      </w:pPr>
      <w:rPr>
        <w:rFonts w:ascii="Wingdings" w:cs="Wingdings" w:hAnsi="Wingdings" w:hint="default"/>
      </w:rPr>
    </w:lvl>
    <w:lvl w:ilvl="6">
      <w:start w:val="1"/>
      <w:numFmt w:val="bullet"/>
      <w:lvlText w:val=""/>
      <w:lvlJc w:val="left"/>
      <w:pPr>
        <w:tabs>
          <w:tab w:pos="0" w:val="num"/>
        </w:tabs>
        <w:ind w:hanging="360" w:left="5040"/>
      </w:pPr>
      <w:rPr>
        <w:rFonts w:ascii="Symbol" w:cs="Symbol" w:hAnsi="Symbol" w:hint="default"/>
      </w:rPr>
    </w:lvl>
    <w:lvl w:ilvl="7">
      <w:start w:val="1"/>
      <w:numFmt w:val="bullet"/>
      <w:lvlText w:val="o"/>
      <w:lvlJc w:val="left"/>
      <w:pPr>
        <w:tabs>
          <w:tab w:pos="0" w:val="num"/>
        </w:tabs>
        <w:ind w:hanging="360" w:left="5760"/>
      </w:pPr>
      <w:rPr>
        <w:rFonts w:ascii="Courier New" w:cs="Courier New" w:hAnsi="Courier New" w:hint="default"/>
      </w:rPr>
    </w:lvl>
    <w:lvl w:ilvl="8">
      <w:start w:val="1"/>
      <w:numFmt w:val="bullet"/>
      <w:lvlText w:val=""/>
      <w:lvlJc w:val="left"/>
      <w:pPr>
        <w:tabs>
          <w:tab w:pos="0" w:val="num"/>
        </w:tabs>
        <w:ind w:hanging="360" w:left="6480"/>
      </w:pPr>
      <w:rPr>
        <w:rFonts w:ascii="Wingdings" w:cs="Wingdings" w:hAnsi="Wingdings" w:hint="default"/>
      </w:rPr>
    </w:lvl>
  </w:abstractNum>
  <w:abstractNum w:abstractNumId="6">
    <w:lvl w:ilvl="0">
      <w:start w:val="1"/>
      <w:numFmt w:val="bullet"/>
      <w:lvlText w:val=""/>
      <w:lvlJc w:val="left"/>
      <w:pPr>
        <w:tabs>
          <w:tab w:pos="0" w:val="num"/>
        </w:tabs>
        <w:ind w:hanging="360" w:left="720"/>
      </w:pPr>
      <w:rPr>
        <w:rFonts w:ascii="Symbol" w:cs="Symbol" w:hAnsi="Symbol" w:hint="default"/>
      </w:rPr>
    </w:lvl>
    <w:lvl w:ilvl="1">
      <w:start w:val="1"/>
      <w:numFmt w:val="bullet"/>
      <w:lvlText w:val="o"/>
      <w:lvlJc w:val="left"/>
      <w:pPr>
        <w:tabs>
          <w:tab w:pos="0" w:val="num"/>
        </w:tabs>
        <w:ind w:hanging="360" w:left="1440"/>
      </w:pPr>
      <w:rPr>
        <w:rFonts w:ascii="Courier New" w:cs="Courier New" w:hAnsi="Courier New" w:hint="default"/>
      </w:rPr>
    </w:lvl>
    <w:lvl w:ilvl="2">
      <w:start w:val="1"/>
      <w:numFmt w:val="bullet"/>
      <w:lvlText w:val=""/>
      <w:lvlJc w:val="left"/>
      <w:pPr>
        <w:tabs>
          <w:tab w:pos="0" w:val="num"/>
        </w:tabs>
        <w:ind w:hanging="360" w:left="2160"/>
      </w:pPr>
      <w:rPr>
        <w:rFonts w:ascii="Wingdings" w:cs="Wingdings" w:hAnsi="Wingdings" w:hint="default"/>
      </w:rPr>
    </w:lvl>
    <w:lvl w:ilvl="3">
      <w:start w:val="1"/>
      <w:numFmt w:val="bullet"/>
      <w:lvlText w:val=""/>
      <w:lvlJc w:val="left"/>
      <w:pPr>
        <w:tabs>
          <w:tab w:pos="0" w:val="num"/>
        </w:tabs>
        <w:ind w:hanging="360" w:left="2880"/>
      </w:pPr>
      <w:rPr>
        <w:rFonts w:ascii="Symbol" w:cs="Symbol" w:hAnsi="Symbol" w:hint="default"/>
      </w:rPr>
    </w:lvl>
    <w:lvl w:ilvl="4">
      <w:start w:val="1"/>
      <w:numFmt w:val="bullet"/>
      <w:lvlText w:val="o"/>
      <w:lvlJc w:val="left"/>
      <w:pPr>
        <w:tabs>
          <w:tab w:pos="0" w:val="num"/>
        </w:tabs>
        <w:ind w:hanging="360" w:left="3600"/>
      </w:pPr>
      <w:rPr>
        <w:rFonts w:ascii="Courier New" w:cs="Courier New" w:hAnsi="Courier New" w:hint="default"/>
      </w:rPr>
    </w:lvl>
    <w:lvl w:ilvl="5">
      <w:start w:val="1"/>
      <w:numFmt w:val="bullet"/>
      <w:lvlText w:val=""/>
      <w:lvlJc w:val="left"/>
      <w:pPr>
        <w:tabs>
          <w:tab w:pos="0" w:val="num"/>
        </w:tabs>
        <w:ind w:hanging="360" w:left="4320"/>
      </w:pPr>
      <w:rPr>
        <w:rFonts w:ascii="Wingdings" w:cs="Wingdings" w:hAnsi="Wingdings" w:hint="default"/>
      </w:rPr>
    </w:lvl>
    <w:lvl w:ilvl="6">
      <w:start w:val="1"/>
      <w:numFmt w:val="bullet"/>
      <w:lvlText w:val=""/>
      <w:lvlJc w:val="left"/>
      <w:pPr>
        <w:tabs>
          <w:tab w:pos="0" w:val="num"/>
        </w:tabs>
        <w:ind w:hanging="360" w:left="5040"/>
      </w:pPr>
      <w:rPr>
        <w:rFonts w:ascii="Symbol" w:cs="Symbol" w:hAnsi="Symbol" w:hint="default"/>
      </w:rPr>
    </w:lvl>
    <w:lvl w:ilvl="7">
      <w:start w:val="1"/>
      <w:numFmt w:val="bullet"/>
      <w:lvlText w:val="o"/>
      <w:lvlJc w:val="left"/>
      <w:pPr>
        <w:tabs>
          <w:tab w:pos="0" w:val="num"/>
        </w:tabs>
        <w:ind w:hanging="360" w:left="5760"/>
      </w:pPr>
      <w:rPr>
        <w:rFonts w:ascii="Courier New" w:cs="Courier New" w:hAnsi="Courier New" w:hint="default"/>
      </w:rPr>
    </w:lvl>
    <w:lvl w:ilvl="8">
      <w:start w:val="1"/>
      <w:numFmt w:val="bullet"/>
      <w:lvlText w:val=""/>
      <w:lvlJc w:val="left"/>
      <w:pPr>
        <w:tabs>
          <w:tab w:pos="0" w:val="num"/>
        </w:tabs>
        <w:ind w:hanging="360" w:left="6480"/>
      </w:pPr>
      <w:rPr>
        <w:rFonts w:ascii="Wingdings" w:cs="Wingdings" w:hAnsi="Wingdings" w:hint="default"/>
      </w:rPr>
    </w:lvl>
  </w:abstractNum>
  <w:abstractNum w:abstractNumId="7">
    <w:lvl w:ilvl="0">
      <w:start w:val="1"/>
      <w:numFmt w:val="bullet"/>
      <w:lvlText w:val=""/>
      <w:lvlJc w:val="left"/>
      <w:pPr>
        <w:tabs>
          <w:tab w:pos="0" w:val="num"/>
        </w:tabs>
        <w:ind w:hanging="360" w:left="720"/>
      </w:pPr>
      <w:rPr>
        <w:rFonts w:ascii="Symbol" w:cs="Symbol" w:hAnsi="Symbol" w:hint="default"/>
      </w:rPr>
    </w:lvl>
    <w:lvl w:ilvl="1">
      <w:start w:val="1"/>
      <w:numFmt w:val="bullet"/>
      <w:lvlText w:val="o"/>
      <w:lvlJc w:val="left"/>
      <w:pPr>
        <w:tabs>
          <w:tab w:pos="0" w:val="num"/>
        </w:tabs>
        <w:ind w:hanging="360" w:left="1440"/>
      </w:pPr>
      <w:rPr>
        <w:rFonts w:ascii="Courier New" w:cs="Courier New" w:hAnsi="Courier New" w:hint="default"/>
      </w:rPr>
    </w:lvl>
    <w:lvl w:ilvl="2">
      <w:start w:val="1"/>
      <w:numFmt w:val="bullet"/>
      <w:lvlText w:val=""/>
      <w:lvlJc w:val="left"/>
      <w:pPr>
        <w:tabs>
          <w:tab w:pos="0" w:val="num"/>
        </w:tabs>
        <w:ind w:hanging="360" w:left="2160"/>
      </w:pPr>
      <w:rPr>
        <w:rFonts w:ascii="Wingdings" w:cs="Wingdings" w:hAnsi="Wingdings" w:hint="default"/>
      </w:rPr>
    </w:lvl>
    <w:lvl w:ilvl="3">
      <w:start w:val="1"/>
      <w:numFmt w:val="bullet"/>
      <w:lvlText w:val=""/>
      <w:lvlJc w:val="left"/>
      <w:pPr>
        <w:tabs>
          <w:tab w:pos="0" w:val="num"/>
        </w:tabs>
        <w:ind w:hanging="360" w:left="2880"/>
      </w:pPr>
      <w:rPr>
        <w:rFonts w:ascii="Symbol" w:cs="Symbol" w:hAnsi="Symbol" w:hint="default"/>
      </w:rPr>
    </w:lvl>
    <w:lvl w:ilvl="4">
      <w:start w:val="1"/>
      <w:numFmt w:val="bullet"/>
      <w:lvlText w:val="o"/>
      <w:lvlJc w:val="left"/>
      <w:pPr>
        <w:tabs>
          <w:tab w:pos="0" w:val="num"/>
        </w:tabs>
        <w:ind w:hanging="360" w:left="3600"/>
      </w:pPr>
      <w:rPr>
        <w:rFonts w:ascii="Courier New" w:cs="Courier New" w:hAnsi="Courier New" w:hint="default"/>
      </w:rPr>
    </w:lvl>
    <w:lvl w:ilvl="5">
      <w:start w:val="1"/>
      <w:numFmt w:val="bullet"/>
      <w:lvlText w:val=""/>
      <w:lvlJc w:val="left"/>
      <w:pPr>
        <w:tabs>
          <w:tab w:pos="0" w:val="num"/>
        </w:tabs>
        <w:ind w:hanging="360" w:left="4320"/>
      </w:pPr>
      <w:rPr>
        <w:rFonts w:ascii="Wingdings" w:cs="Wingdings" w:hAnsi="Wingdings" w:hint="default"/>
      </w:rPr>
    </w:lvl>
    <w:lvl w:ilvl="6">
      <w:start w:val="1"/>
      <w:numFmt w:val="bullet"/>
      <w:lvlText w:val=""/>
      <w:lvlJc w:val="left"/>
      <w:pPr>
        <w:tabs>
          <w:tab w:pos="0" w:val="num"/>
        </w:tabs>
        <w:ind w:hanging="360" w:left="5040"/>
      </w:pPr>
      <w:rPr>
        <w:rFonts w:ascii="Symbol" w:cs="Symbol" w:hAnsi="Symbol" w:hint="default"/>
      </w:rPr>
    </w:lvl>
    <w:lvl w:ilvl="7">
      <w:start w:val="1"/>
      <w:numFmt w:val="bullet"/>
      <w:lvlText w:val="o"/>
      <w:lvlJc w:val="left"/>
      <w:pPr>
        <w:tabs>
          <w:tab w:pos="0" w:val="num"/>
        </w:tabs>
        <w:ind w:hanging="360" w:left="5760"/>
      </w:pPr>
      <w:rPr>
        <w:rFonts w:ascii="Courier New" w:cs="Courier New" w:hAnsi="Courier New" w:hint="default"/>
      </w:rPr>
    </w:lvl>
    <w:lvl w:ilvl="8">
      <w:start w:val="1"/>
      <w:numFmt w:val="bullet"/>
      <w:lvlText w:val=""/>
      <w:lvlJc w:val="left"/>
      <w:pPr>
        <w:tabs>
          <w:tab w:pos="0" w:val="num"/>
        </w:tabs>
        <w:ind w:hanging="360" w:left="6480"/>
      </w:pPr>
      <w:rPr>
        <w:rFonts w:ascii="Wingdings" w:cs="Wingdings" w:hAnsi="Wingdings" w:hint="default"/>
      </w:rPr>
    </w:lvl>
  </w:abstractNum>
  <w:abstractNum w:abstractNumId="8">
    <w:lvl w:ilvl="0">
      <w:start w:val="1"/>
      <w:numFmt w:val="bullet"/>
      <w:lvlText w:val=""/>
      <w:lvlJc w:val="left"/>
      <w:pPr>
        <w:tabs>
          <w:tab w:pos="0" w:val="num"/>
        </w:tabs>
        <w:ind w:hanging="360" w:left="720"/>
      </w:pPr>
      <w:rPr>
        <w:rFonts w:ascii="Symbol" w:cs="Symbol" w:hAnsi="Symbol" w:hint="default"/>
      </w:rPr>
    </w:lvl>
    <w:lvl w:ilvl="1">
      <w:start w:val="1"/>
      <w:numFmt w:val="bullet"/>
      <w:lvlText w:val="o"/>
      <w:lvlJc w:val="left"/>
      <w:pPr>
        <w:tabs>
          <w:tab w:pos="0" w:val="num"/>
        </w:tabs>
        <w:ind w:hanging="360" w:left="1440"/>
      </w:pPr>
      <w:rPr>
        <w:rFonts w:ascii="Courier New" w:cs="Courier New" w:hAnsi="Courier New" w:hint="default"/>
      </w:rPr>
    </w:lvl>
    <w:lvl w:ilvl="2">
      <w:start w:val="1"/>
      <w:numFmt w:val="bullet"/>
      <w:lvlText w:val=""/>
      <w:lvlJc w:val="left"/>
      <w:pPr>
        <w:tabs>
          <w:tab w:pos="0" w:val="num"/>
        </w:tabs>
        <w:ind w:hanging="360" w:left="2160"/>
      </w:pPr>
      <w:rPr>
        <w:rFonts w:ascii="Wingdings" w:cs="Wingdings" w:hAnsi="Wingdings" w:hint="default"/>
      </w:rPr>
    </w:lvl>
    <w:lvl w:ilvl="3">
      <w:start w:val="1"/>
      <w:numFmt w:val="bullet"/>
      <w:lvlText w:val=""/>
      <w:lvlJc w:val="left"/>
      <w:pPr>
        <w:tabs>
          <w:tab w:pos="0" w:val="num"/>
        </w:tabs>
        <w:ind w:hanging="360" w:left="2880"/>
      </w:pPr>
      <w:rPr>
        <w:rFonts w:ascii="Symbol" w:cs="Symbol" w:hAnsi="Symbol" w:hint="default"/>
      </w:rPr>
    </w:lvl>
    <w:lvl w:ilvl="4">
      <w:start w:val="1"/>
      <w:numFmt w:val="bullet"/>
      <w:lvlText w:val="o"/>
      <w:lvlJc w:val="left"/>
      <w:pPr>
        <w:tabs>
          <w:tab w:pos="0" w:val="num"/>
        </w:tabs>
        <w:ind w:hanging="360" w:left="3600"/>
      </w:pPr>
      <w:rPr>
        <w:rFonts w:ascii="Courier New" w:cs="Courier New" w:hAnsi="Courier New" w:hint="default"/>
      </w:rPr>
    </w:lvl>
    <w:lvl w:ilvl="5">
      <w:start w:val="1"/>
      <w:numFmt w:val="bullet"/>
      <w:lvlText w:val=""/>
      <w:lvlJc w:val="left"/>
      <w:pPr>
        <w:tabs>
          <w:tab w:pos="0" w:val="num"/>
        </w:tabs>
        <w:ind w:hanging="360" w:left="4320"/>
      </w:pPr>
      <w:rPr>
        <w:rFonts w:ascii="Wingdings" w:cs="Wingdings" w:hAnsi="Wingdings" w:hint="default"/>
      </w:rPr>
    </w:lvl>
    <w:lvl w:ilvl="6">
      <w:start w:val="1"/>
      <w:numFmt w:val="bullet"/>
      <w:lvlText w:val=""/>
      <w:lvlJc w:val="left"/>
      <w:pPr>
        <w:tabs>
          <w:tab w:pos="0" w:val="num"/>
        </w:tabs>
        <w:ind w:hanging="360" w:left="5040"/>
      </w:pPr>
      <w:rPr>
        <w:rFonts w:ascii="Symbol" w:cs="Symbol" w:hAnsi="Symbol" w:hint="default"/>
      </w:rPr>
    </w:lvl>
    <w:lvl w:ilvl="7">
      <w:start w:val="1"/>
      <w:numFmt w:val="bullet"/>
      <w:lvlText w:val="o"/>
      <w:lvlJc w:val="left"/>
      <w:pPr>
        <w:tabs>
          <w:tab w:pos="0" w:val="num"/>
        </w:tabs>
        <w:ind w:hanging="360" w:left="5760"/>
      </w:pPr>
      <w:rPr>
        <w:rFonts w:ascii="Courier New" w:cs="Courier New" w:hAnsi="Courier New" w:hint="default"/>
      </w:rPr>
    </w:lvl>
    <w:lvl w:ilvl="8">
      <w:start w:val="1"/>
      <w:numFmt w:val="bullet"/>
      <w:lvlText w:val=""/>
      <w:lvlJc w:val="left"/>
      <w:pPr>
        <w:tabs>
          <w:tab w:pos="0" w:val="num"/>
        </w:tabs>
        <w:ind w:hanging="360" w:left="6480"/>
      </w:pPr>
      <w:rPr>
        <w:rFonts w:ascii="Wingdings" w:cs="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embedTrueTypeFonts/>
  <w:embedSystemFonts/>
  <w:defaultTabStop w:val="720"/>
  <w:autoHyphenation w:val="true"/>
  <w:compat>
    <w:compatSetting w:name="compatibilityMode" w:uri="http://schemas.microsoft.com/office/word" w:val="15"/>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Arial" w:cs="Arial" w:eastAsia="Arial" w:hAnsi="Arial"/>
        <w:sz w:val="22"/>
        <w:szCs w:val="22"/>
        <w:lang w:bidi="ar-SA" w:eastAsia="ja-JP" w:val="en-CA"/>
      </w:rPr>
    </w:rPrDefault>
    <w:pPrDefault>
      <w:pPr>
        <w:suppressAutoHyphens w:val="true"/>
      </w:pPr>
    </w:pPrDefault>
  </w:docDefaults>
  <w:style w:styleId="Normal" w:type="paragraph">
    <w:name w:val="Normal"/>
    <w:qFormat/>
    <w:pPr>
      <w:widowControl/>
      <w:suppressAutoHyphens w:val="true"/>
      <w:kinsoku w:val="true"/>
      <w:overflowPunct w:val="true"/>
      <w:autoSpaceDE w:val="true"/>
      <w:bidi w:val="0"/>
      <w:spacing w:after="160" w:before="0" w:line="259" w:lineRule="auto"/>
      <w:jc w:val="left"/>
    </w:pPr>
    <w:rPr>
      <w:rFonts w:ascii="Arial" w:cs="Arial" w:eastAsia="Arial" w:hAnsi="Arial"/>
      <w:color w:val="auto"/>
      <w:kern w:val="0"/>
      <w:sz w:val="22"/>
      <w:szCs w:val="22"/>
      <w:lang w:bidi="ar-SA" w:eastAsia="ja-JP" w:val="en-CA"/>
    </w:rPr>
  </w:style>
  <w:style w:styleId="Heading1" w:type="paragraph">
    <w:name w:val="Heading 1"/>
    <w:basedOn w:val="Normal"/>
    <w:next w:val="Normal"/>
    <w:qFormat/>
    <w:pPr>
      <w:keepNext w:val="true"/>
      <w:keepLines/>
      <w:numPr>
        <w:ilvl w:val="0"/>
        <w:numId w:val="0"/>
      </w:numPr>
      <w:spacing w:after="360" w:before="360"/>
      <w:outlineLvl w:val="0"/>
    </w:pPr>
    <w:rPr>
      <w:rFonts w:ascii="Arial" w:cs="Arial" w:eastAsia="ＭＳ Ｐゴシック" w:hAnsi="Arial"/>
      <w:b/>
      <w:color w:val="002A5C"/>
      <w:sz w:val="28"/>
      <w:szCs w:val="32"/>
    </w:rPr>
  </w:style>
  <w:style w:styleId="Heading2" w:type="paragraph">
    <w:name w:val="Heading 2"/>
    <w:basedOn w:val="Normal"/>
    <w:next w:val="Normal"/>
    <w:qFormat/>
    <w:pPr>
      <w:keepNext w:val="true"/>
      <w:keepLines/>
      <w:numPr>
        <w:ilvl w:val="0"/>
        <w:numId w:val="0"/>
      </w:numPr>
      <w:spacing w:after="360" w:before="400"/>
      <w:outlineLvl w:val="1"/>
    </w:pPr>
    <w:rPr>
      <w:rFonts w:ascii="Arial" w:cs="Arial" w:eastAsia="ＭＳ Ｐゴシック" w:hAnsi="Arial"/>
      <w:b/>
      <w:color w:val="002A5C"/>
      <w:sz w:val="28"/>
      <w:szCs w:val="26"/>
    </w:rPr>
  </w:style>
  <w:style w:styleId="Heading3" w:type="paragraph">
    <w:name w:val="Heading 3"/>
    <w:basedOn w:val="Normal"/>
    <w:next w:val="Normal"/>
    <w:qFormat/>
    <w:pPr>
      <w:numPr>
        <w:ilvl w:val="0"/>
        <w:numId w:val="0"/>
      </w:numPr>
      <w:spacing w:after="120" w:before="280"/>
      <w:outlineLvl w:val="2"/>
    </w:pPr>
    <w:rPr>
      <w:rFonts w:cs="Arial"/>
      <w:b/>
      <w:sz w:val="24"/>
    </w:rPr>
  </w:style>
  <w:style w:styleId="Heading4" w:type="paragraph">
    <w:name w:val="Heading 4"/>
    <w:basedOn w:val="Normal"/>
    <w:next w:val="Normal"/>
    <w:qFormat/>
    <w:pPr>
      <w:keepNext w:val="true"/>
      <w:keepLines/>
      <w:numPr>
        <w:ilvl w:val="0"/>
        <w:numId w:val="0"/>
      </w:numPr>
      <w:spacing w:after="0" w:before="40"/>
      <w:outlineLvl w:val="3"/>
    </w:pPr>
    <w:rPr>
      <w:rFonts w:ascii="Arial" w:cs="Arial" w:eastAsia="ＭＳ Ｐゴシック" w:hAnsi="Arial"/>
      <w:i/>
      <w:iCs/>
      <w:color w:val="2F5496"/>
    </w:rPr>
  </w:style>
  <w:style w:styleId="DefaultParagraphFont" w:type="character">
    <w:name w:val="Default Paragraph Font"/>
    <w:qFormat/>
    <w:rPr/>
  </w:style>
  <w:style w:styleId="Normaltextrun" w:type="character">
    <w:name w:val="normaltextrun"/>
    <w:basedOn w:val="DefaultParagraphFont"/>
    <w:qFormat/>
    <w:rPr/>
  </w:style>
  <w:style w:styleId="Eop" w:type="character">
    <w:name w:val="eop"/>
    <w:basedOn w:val="DefaultParagraphFont"/>
    <w:qFormat/>
    <w:rPr/>
  </w:style>
  <w:style w:styleId="Heading1Char" w:type="character">
    <w:name w:val="Heading 1 Char"/>
    <w:basedOn w:val="DefaultParagraphFont"/>
    <w:qFormat/>
    <w:rPr>
      <w:rFonts w:ascii="Arial" w:cs="Arial" w:eastAsia="ＭＳ Ｐゴシック" w:hAnsi="Arial"/>
      <w:b/>
      <w:color w:val="002A5C"/>
      <w:sz w:val="28"/>
      <w:szCs w:val="32"/>
    </w:rPr>
  </w:style>
  <w:style w:styleId="Heading2Char" w:type="character">
    <w:name w:val="Heading 2 Char"/>
    <w:basedOn w:val="DefaultParagraphFont"/>
    <w:qFormat/>
    <w:rPr>
      <w:rFonts w:ascii="Arial" w:cs="Arial" w:eastAsia="ＭＳ Ｐゴシック" w:hAnsi="Arial"/>
      <w:b/>
      <w:color w:val="002A5C"/>
      <w:sz w:val="28"/>
      <w:szCs w:val="26"/>
    </w:rPr>
  </w:style>
  <w:style w:styleId="InternetLink" w:type="character">
    <w:name w:val="Hyperlink"/>
    <w:basedOn w:val="DefaultParagraphFont"/>
    <w:rPr>
      <w:color w:val="0563C1"/>
      <w:u w:val="single"/>
    </w:rPr>
  </w:style>
  <w:style w:styleId="Heading3Char" w:type="character">
    <w:name w:val="Heading 3 Char"/>
    <w:basedOn w:val="DefaultParagraphFont"/>
    <w:qFormat/>
    <w:rPr>
      <w:rFonts w:cs="Arial"/>
      <w:b/>
      <w:sz w:val="24"/>
    </w:rPr>
  </w:style>
  <w:style w:styleId="HeaderChar" w:type="character">
    <w:name w:val="Header Char"/>
    <w:basedOn w:val="DefaultParagraphFont"/>
    <w:link w:val="Header"/>
    <w:qFormat/>
    <w:rPr/>
  </w:style>
  <w:style w:styleId="FooterChar" w:type="character">
    <w:name w:val="Footer Char"/>
    <w:basedOn w:val="DefaultParagraphFont"/>
    <w:link w:val="Footer"/>
    <w:qFormat/>
    <w:rPr/>
  </w:style>
  <w:style w:styleId="TitleChar" w:type="character">
    <w:name w:val="Title Char"/>
    <w:basedOn w:val="DefaultParagraphFont"/>
    <w:link w:val="Title"/>
    <w:qFormat/>
    <w:rPr>
      <w:rFonts w:ascii="Arial" w:cs="Arial" w:eastAsia="ＭＳ Ｐゴシック" w:hAnsi="Arial"/>
      <w:b/>
      <w:color w:val="002A5C"/>
      <w:spacing w:val="-10"/>
      <w:kern w:val="2"/>
      <w:sz w:val="40"/>
      <w:szCs w:val="56"/>
    </w:rPr>
  </w:style>
  <w:style w:styleId="UnresolvedMention1" w:type="character">
    <w:name w:val="Unresolved Mention1"/>
    <w:basedOn w:val="DefaultParagraphFont"/>
    <w:qFormat/>
    <w:rPr>
      <w:color w:val="605E5C"/>
      <w:shd w:fill="E1DFDD" w:val="clear"/>
    </w:rPr>
  </w:style>
  <w:style w:styleId="BalloonTextChar" w:type="character">
    <w:name w:val="Balloon Text Char"/>
    <w:basedOn w:val="DefaultParagraphFont"/>
    <w:qFormat/>
    <w:rPr>
      <w:rFonts w:ascii="Times New Roman" w:cs="Times New Roman" w:hAnsi="Times New Roman"/>
      <w:sz w:val="18"/>
      <w:szCs w:val="18"/>
      <w:lang w:eastAsia="ja-JP"/>
    </w:rPr>
  </w:style>
  <w:style w:styleId="SubtitleChar" w:type="character">
    <w:name w:val="Subtitle Char"/>
    <w:basedOn w:val="DefaultParagraphFont"/>
    <w:link w:val="Subtitle"/>
    <w:qFormat/>
    <w:rPr>
      <w:rFonts w:eastAsia="ＭＳ Ｐゴシック"/>
      <w:color w:val="002A5C"/>
      <w:spacing w:val="15"/>
      <w:sz w:val="32"/>
    </w:rPr>
  </w:style>
  <w:style w:styleId="SubtleReference" w:type="character">
    <w:name w:val="Subtle Reference"/>
    <w:basedOn w:val="DefaultParagraphFont"/>
    <w:qFormat/>
    <w:rPr>
      <w:smallCaps/>
      <w:color w:val="5A5A5A"/>
    </w:rPr>
  </w:style>
  <w:style w:styleId="Heading4Char" w:type="character">
    <w:name w:val="Heading 4 Char"/>
    <w:basedOn w:val="DefaultParagraphFont"/>
    <w:qFormat/>
    <w:rPr>
      <w:rFonts w:ascii="Arial" w:cs="Arial" w:eastAsia="ＭＳ Ｐゴシック" w:hAnsi="Arial"/>
      <w:i/>
      <w:iCs/>
      <w:color w:val="2F5496"/>
    </w:rPr>
  </w:style>
  <w:style w:styleId="SubtleEmphasis" w:type="character">
    <w:name w:val="Subtle Emphasis"/>
    <w:basedOn w:val="DefaultParagraphFont"/>
    <w:qFormat/>
    <w:rPr>
      <w:rFonts w:ascii="Arial" w:hAnsi="Arial"/>
      <w:i/>
      <w:iCs/>
      <w:color w:val="404040"/>
    </w:rPr>
  </w:style>
  <w:style w:styleId="Pagenumber" w:type="character">
    <w:name w:val="page number"/>
    <w:basedOn w:val="DefaultParagraphFont"/>
    <w:qFormat/>
    <w:rPr/>
  </w:style>
  <w:style w:styleId="PlaceholderText" w:type="character">
    <w:name w:val="Placeholder Text"/>
    <w:basedOn w:val="DefaultParagraphFont"/>
    <w:qFormat/>
    <w:rPr>
      <w:color w:val="808080"/>
    </w:rPr>
  </w:style>
  <w:style w:styleId="UnresolvedMention2" w:type="character">
    <w:name w:val="Unresolved Mention2"/>
    <w:basedOn w:val="DefaultParagraphFont"/>
    <w:qFormat/>
    <w:rPr>
      <w:color w:val="605E5C"/>
      <w:shd w:fill="E1DFDD" w:val="clear"/>
    </w:rPr>
  </w:style>
  <w:style w:styleId="VisitedInternetLink" w:type="character">
    <w:name w:val="FollowedHyperlink"/>
    <w:basedOn w:val="DefaultParagraphFont"/>
    <w:rPr>
      <w:color w:val="954F72"/>
      <w:u w:val="single"/>
    </w:rPr>
  </w:style>
  <w:style w:styleId="UnresolvedMention3" w:type="character">
    <w:name w:val="Unresolved Mention3"/>
    <w:basedOn w:val="DefaultParagraphFont"/>
    <w:qFormat/>
    <w:rPr>
      <w:color w:val="605E5C"/>
      <w:shd w:fill="E1DFDD" w:val="clear"/>
    </w:rPr>
  </w:style>
  <w:style w:styleId="UnresolvedMention4" w:type="character">
    <w:name w:val="Unresolved Mention4"/>
    <w:basedOn w:val="DefaultParagraphFont"/>
    <w:qFormat/>
    <w:rPr>
      <w:color w:val="605E5C"/>
      <w:shd w:fill="E1DFDD" w:val="clear"/>
    </w:rPr>
  </w:style>
  <w:style w:styleId="UnresolvedMention" w:type="character">
    <w:name w:val="Unresolved Mention"/>
    <w:basedOn w:val="DefaultParagraphFont"/>
    <w:qFormat/>
    <w:rPr>
      <w:color w:val="605E5C"/>
      <w:shd w:fill="E1DFDD" w:val="clear"/>
    </w:rPr>
  </w:style>
  <w:style w:styleId="HTMLPreformattedChar" w:type="character">
    <w:name w:val="HTML Preformatted Char"/>
    <w:basedOn w:val="DefaultParagraphFont"/>
    <w:qFormat/>
    <w:rPr>
      <w:rFonts w:ascii="Courier New" w:cs="Courier New" w:eastAsia="Times New Roman" w:hAnsi="Courier New"/>
      <w:sz w:val="20"/>
      <w:szCs w:val="20"/>
      <w:lang w:eastAsia="en-CA"/>
    </w:rPr>
  </w:style>
  <w:style w:styleId="StrongEmphasis" w:type="character">
    <w:name w:val="Strong"/>
    <w:qFormat/>
    <w:rPr>
      <w:b/>
      <w:bCs/>
    </w:rPr>
  </w:style>
  <w:style w:styleId="Bullets" w:type="character">
    <w:name w:val="Bullets"/>
    <w:qFormat/>
    <w:rPr>
      <w:rFonts w:ascii="OpenSymbol" w:cs="OpenSymbol" w:eastAsia="OpenSymbol" w:hAnsi="OpenSymbol"/>
    </w:rPr>
  </w:style>
  <w:style w:styleId="Heading" w:type="paragraph">
    <w:name w:val="Heading"/>
    <w:basedOn w:val="Normal"/>
    <w:next w:val="TextBody"/>
    <w:qFormat/>
    <w:pPr>
      <w:keepNext w:val="true"/>
      <w:spacing w:after="120" w:before="240"/>
    </w:pPr>
    <w:rPr>
      <w:rFonts w:ascii="Liberation Sans" w:cs="DejaVu Sans" w:eastAsia="DejaVu Sans" w:hAnsi="Liberation Sans"/>
      <w:sz w:val="28"/>
      <w:szCs w:val="28"/>
    </w:rPr>
  </w:style>
  <w:style w:styleId="TextBody" w:type="paragraph">
    <w:name w:val="Body Text"/>
    <w:basedOn w:val="Normal"/>
    <w:pPr>
      <w:spacing w:after="140" w:before="0" w:line="276" w:lineRule="auto"/>
    </w:pPr>
    <w:rPr/>
  </w:style>
  <w:style w:styleId="List" w:type="paragraph">
    <w:name w:val="List"/>
    <w:basedOn w:val="TextBody"/>
    <w:pPr/>
    <w:rPr/>
  </w:style>
  <w:style w:styleId="Caption" w:type="paragraph">
    <w:name w:val="Caption"/>
    <w:basedOn w:val="Normal"/>
    <w:qFormat/>
    <w:pPr>
      <w:suppressLineNumbers/>
      <w:spacing w:after="120" w:before="120"/>
    </w:pPr>
    <w:rPr>
      <w:i/>
      <w:iCs/>
      <w:sz w:val="24"/>
      <w:szCs w:val="24"/>
    </w:rPr>
  </w:style>
  <w:style w:styleId="Index" w:type="paragraph">
    <w:name w:val="Index"/>
    <w:basedOn w:val="Normal"/>
    <w:qFormat/>
    <w:pPr>
      <w:suppressLineNumbers/>
    </w:pPr>
    <w:rPr/>
  </w:style>
  <w:style w:styleId="ListParagraph" w:type="paragraph">
    <w:name w:val="List Paragraph"/>
    <w:basedOn w:val="Normal"/>
    <w:qFormat/>
    <w:pPr>
      <w:spacing w:after="160" w:before="0"/>
      <w:ind w:hanging="0" w:left="720" w:right="0"/>
      <w:contextualSpacing/>
    </w:pPr>
    <w:rPr/>
  </w:style>
  <w:style w:styleId="HeaderandFooter" w:type="paragraph">
    <w:name w:val="Header and Footer"/>
    <w:basedOn w:val="Normal"/>
    <w:qFormat/>
    <w:pPr/>
    <w:rPr/>
  </w:style>
  <w:style w:styleId="Header" w:type="paragraph">
    <w:name w:val="Header"/>
    <w:basedOn w:val="Normal"/>
    <w:pPr>
      <w:tabs>
        <w:tab w:pos="720" w:val="clear"/>
        <w:tab w:leader="none" w:pos="4680" w:val="center"/>
        <w:tab w:leader="none" w:pos="9360" w:val="right"/>
      </w:tabs>
      <w:spacing w:after="0" w:before="0" w:line="240" w:lineRule="auto"/>
    </w:pPr>
    <w:rPr/>
  </w:style>
  <w:style w:styleId="Footer" w:type="paragraph">
    <w:name w:val="Footer"/>
    <w:basedOn w:val="Normal"/>
    <w:pPr>
      <w:tabs>
        <w:tab w:pos="720" w:val="clear"/>
        <w:tab w:leader="none" w:pos="4680" w:val="center"/>
        <w:tab w:leader="none" w:pos="9360" w:val="right"/>
      </w:tabs>
      <w:spacing w:after="0" w:before="0" w:line="240" w:lineRule="auto"/>
    </w:pPr>
    <w:rPr/>
  </w:style>
  <w:style w:styleId="Title" w:type="paragraph">
    <w:name w:val="Title"/>
    <w:basedOn w:val="Heading1"/>
    <w:next w:val="Subtitle"/>
    <w:qFormat/>
    <w:pPr>
      <w:spacing w:after="80" w:before="240" w:line="240" w:lineRule="auto"/>
      <w:contextualSpacing/>
    </w:pPr>
    <w:rPr>
      <w:spacing w:val="-10"/>
      <w:kern w:val="2"/>
      <w:sz w:val="40"/>
      <w:szCs w:val="56"/>
    </w:rPr>
  </w:style>
  <w:style w:styleId="Revision" w:type="paragraph">
    <w:name w:val="Revision"/>
    <w:qFormat/>
    <w:pPr>
      <w:widowControl/>
      <w:kinsoku w:val="true"/>
      <w:overflowPunct w:val="true"/>
      <w:autoSpaceDE w:val="true"/>
      <w:bidi w:val="0"/>
      <w:spacing w:after="0" w:before="0" w:line="240" w:lineRule="auto"/>
      <w:jc w:val="left"/>
    </w:pPr>
    <w:rPr>
      <w:rFonts w:ascii="Arial" w:cs="Arial" w:eastAsia="Arial" w:hAnsi="Arial"/>
      <w:color w:val="auto"/>
      <w:kern w:val="0"/>
      <w:sz w:val="22"/>
      <w:szCs w:val="22"/>
      <w:lang w:bidi="ar-SA" w:eastAsia="ja-JP" w:val="en-CA"/>
    </w:rPr>
  </w:style>
  <w:style w:styleId="BalloonText" w:type="paragraph">
    <w:name w:val="Balloon Text"/>
    <w:basedOn w:val="Normal"/>
    <w:qFormat/>
    <w:pPr>
      <w:spacing w:after="0" w:before="0" w:line="240" w:lineRule="auto"/>
    </w:pPr>
    <w:rPr>
      <w:rFonts w:ascii="Times New Roman" w:cs="Times New Roman" w:hAnsi="Times New Roman"/>
      <w:sz w:val="18"/>
      <w:szCs w:val="18"/>
    </w:rPr>
  </w:style>
  <w:style w:styleId="NoSpacing" w:type="paragraph">
    <w:name w:val="No Spacing"/>
    <w:qFormat/>
    <w:pPr>
      <w:widowControl/>
      <w:kinsoku w:val="true"/>
      <w:overflowPunct w:val="true"/>
      <w:autoSpaceDE w:val="true"/>
      <w:bidi w:val="0"/>
      <w:spacing w:after="0" w:before="0" w:line="240" w:lineRule="auto"/>
      <w:jc w:val="left"/>
    </w:pPr>
    <w:rPr>
      <w:rFonts w:ascii="Arial" w:cs="Arial" w:eastAsia="Arial" w:hAnsi="Arial"/>
      <w:color w:val="44546A"/>
      <w:kern w:val="0"/>
      <w:sz w:val="20"/>
      <w:szCs w:val="20"/>
      <w:lang w:bidi="ar-SA" w:eastAsia="en-US" w:val="en-CA"/>
    </w:rPr>
  </w:style>
  <w:style w:styleId="Subtitle" w:type="paragraph">
    <w:name w:val="Subtitle"/>
    <w:basedOn w:val="Normal"/>
    <w:next w:val="Normal"/>
    <w:qFormat/>
    <w:pPr>
      <w:spacing w:line="240" w:lineRule="auto"/>
    </w:pPr>
    <w:rPr>
      <w:rFonts w:eastAsia="ＭＳ Ｐゴシック"/>
      <w:color w:val="002A5C"/>
      <w:spacing w:val="15"/>
      <w:sz w:val="32"/>
    </w:rPr>
  </w:style>
  <w:style w:styleId="HTMLPreformatted" w:type="paragraph">
    <w:name w:val="HTML Preformatted"/>
    <w:basedOn w:val="Normal"/>
    <w:qFormat/>
    <w:pPr>
      <w:tabs>
        <w:tab w:pos="720" w:val="clear"/>
        <w:tab w:leader="none" w:pos="916" w:val="left"/>
        <w:tab w:leader="none" w:pos="1832" w:val="left"/>
        <w:tab w:leader="none" w:pos="2748" w:val="left"/>
        <w:tab w:leader="none" w:pos="3664" w:val="left"/>
        <w:tab w:leader="none" w:pos="4580" w:val="left"/>
        <w:tab w:leader="none" w:pos="5496" w:val="left"/>
        <w:tab w:leader="none" w:pos="6412" w:val="left"/>
        <w:tab w:leader="none" w:pos="7328" w:val="left"/>
        <w:tab w:leader="none" w:pos="8244" w:val="left"/>
        <w:tab w:leader="none" w:pos="9160" w:val="left"/>
        <w:tab w:leader="none" w:pos="10076" w:val="left"/>
        <w:tab w:leader="none" w:pos="10992" w:val="left"/>
        <w:tab w:leader="none" w:pos="11908" w:val="left"/>
        <w:tab w:leader="none" w:pos="12824" w:val="left"/>
        <w:tab w:leader="none" w:pos="13740" w:val="left"/>
        <w:tab w:leader="none" w:pos="14656" w:val="left"/>
      </w:tabs>
      <w:spacing w:after="0" w:before="0" w:line="240" w:lineRule="auto"/>
    </w:pPr>
    <w:rPr>
      <w:rFonts w:ascii="Courier New" w:cs="Courier New" w:eastAsia="Times New Roman" w:hAnsi="Courier New"/>
      <w:sz w:val="20"/>
      <w:szCs w:val="20"/>
      <w:lang w:eastAsia="en-CA"/>
    </w:rPr>
  </w:style>
  <w:style w:styleId="TableContents" w:type="paragraph">
    <w:name w:val="Table Contents"/>
    <w:basedOn w:val="Normal"/>
    <w:qFormat/>
    <w:pPr>
      <w:widowControl w:val="false"/>
      <w:suppressLineNumbers/>
    </w:pPr>
    <w:rPr/>
  </w:style>
  <w:style w:styleId="PreformattedText" w:type="paragraph">
    <w:name w:val="Preformatted Text"/>
    <w:basedOn w:val="Normal"/>
    <w:qFormat/>
    <w:pPr>
      <w:spacing w:after="0" w:before="0"/>
    </w:pPr>
    <w:rPr>
      <w:rFonts w:ascii="Liberation Mono" w:cs="Liberation Mono" w:eastAsia="DejaVu Sans Mono" w:hAnsi="Liberation Mono"/>
      <w:sz w:val="20"/>
      <w:szCs w:val="20"/>
    </w:rPr>
  </w:style>
  <w:style w:styleId="NoList" w:type="numbering">
    <w:name w:val="No List"/>
    <w:qFormat/>
  </w:style>
</w:style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http://invalid.uri" TargetMode="External" Type="http://schemas.openxmlformats.org/officeDocument/2006/relationships/hyperlink"/><Relationship Id="rId11" Target="https://www.facebook.com/FirstNationsHouseUofT" TargetMode="External" Type="http://schemas.openxmlformats.org/officeDocument/2006/relationships/hyperlink"/><Relationship Id="rId12" Target="https://www.instagram.com/firstnationshouse/" TargetMode="External" Type="http://schemas.openxmlformats.org/officeDocument/2006/relationships/hyperlink"/><Relationship Id="rId13" Target="https://www.tiktok.com/@first.nations.house" TargetMode="External" Type="http://schemas.openxmlformats.org/officeDocument/2006/relationships/hyperlink"/><Relationship Id="rId14" Target="http://uoft.me/engadvisors" TargetMode="External" Type="http://schemas.openxmlformats.org/officeDocument/2006/relationships/hyperlink"/><Relationship Id="rId15" Target="https://gradstudies.engineering.utoronto.ca/grad-admins/" TargetMode="External" Type="http://schemas.openxmlformats.org/officeDocument/2006/relationships/hyperlink"/><Relationship Id="rId16" Target="http://www.uofteng.ca/mentalhealth" TargetMode="External" Type="http://schemas.openxmlformats.org/officeDocument/2006/relationships/hyperlink"/><Relationship Id="rId17" Target="https://studentlife.utoronto.ca/department/health-wellness/" TargetMode="External" Type="http://schemas.openxmlformats.org/officeDocument/2006/relationships/hyperlink"/><Relationship Id="rId18" Target="https://undergrad.engineering.utoronto.ca/advising-and-wellness/health-wellness/" TargetMode="External" Type="http://schemas.openxmlformats.org/officeDocument/2006/relationships/hyperlink"/><Relationship Id="rId19" Target="https://studentlife.utoronto.ca/service/peer-support/" TargetMode="External" Type="http://schemas.openxmlformats.org/officeDocument/2006/relationships/hyperlink"/><Relationship Id="rId2" Target="http://wearcam.org/ece516/" TargetMode="External" Type="http://schemas.openxmlformats.org/officeDocument/2006/relationships/hyperlink"/><Relationship Id="rId20" Target="https://studentlife.utoronto.ca/department/accessibility-services" TargetMode="External" Type="http://schemas.openxmlformats.org/officeDocument/2006/relationships/hyperlink"/><Relationship Id="rId21" Target="https://undergrad.engineering.utoronto.ca/advising-and-wellness/accessibility-services/" TargetMode="External" Type="http://schemas.openxmlformats.org/officeDocument/2006/relationships/hyperlink"/><Relationship Id="rId22" Target="https://gecos.sa.utoronto.ca/commissions/" TargetMode="External" Type="http://schemas.openxmlformats.org/officeDocument/2006/relationships/hyperlink"/><Relationship Id="rId23" Target="https://wellness.skule.ca/" TargetMode="External" Type="http://schemas.openxmlformats.org/officeDocument/2006/relationships/hyperlink"/><Relationship Id="rId24" Target="https://undergrad.engineering.utoronto.ca/advising-and-wellness/learning-skills-strategist/" TargetMode="External" Type="http://schemas.openxmlformats.org/officeDocument/2006/relationships/hyperlink"/><Relationship Id="rId25" Target="https://studentlife.utoronto.ca/department/centre-for-learning-strategy-support/" TargetMode="External" Type="http://schemas.openxmlformats.org/officeDocument/2006/relationships/hyperlink"/><Relationship Id="rId26" Target="https://undergrad.engineering.utoronto.ca/academics-registration/registrars-office-2/about-the-registrars-office/" TargetMode="External" Type="http://schemas.openxmlformats.org/officeDocument/2006/relationships/hyperlink"/><Relationship Id="rId27" Target="https://undergrad.engineering.utoronto.ca/fees-financial-aid/u-of-t-engineering-scholarships-financial-aid-office/" TargetMode="External" Type="http://schemas.openxmlformats.org/officeDocument/2006/relationships/hyperlink"/><Relationship Id="rId28" Target="https://uoft.me/THSS" TargetMode="External" Type="http://schemas.openxmlformats.org/officeDocument/2006/relationships/hyperlink"/><Relationship Id="rId29" Target="https://studentlife.utoronto.ca/task/support-when-you-feel-distressed/" TargetMode="External" Type="http://schemas.openxmlformats.org/officeDocument/2006/relationships/hyperlink"/><Relationship Id="rId3" Target="mailto:mann@eecg.utoronto.ca" TargetMode="External" Type="http://schemas.openxmlformats.org/officeDocument/2006/relationships/hyperlink"/><Relationship Id="rId30" Target="https://www.engineering.utoronto.ca/talk-to-someone-right-now/" TargetMode="External" Type="http://schemas.openxmlformats.org/officeDocument/2006/relationships/hyperlink"/><Relationship Id="rId31" Target="https://studentlife.utoronto.ca/service/accessibility-services-registration-and-documentation-requirements/" TargetMode="External" Type="http://schemas.openxmlformats.org/officeDocument/2006/relationships/hyperlink"/><Relationship Id="rId32" Target="mailto:accessibility.services@utoronto.ca" TargetMode="External" Type="http://schemas.openxmlformats.org/officeDocument/2006/relationships/hyperlink"/><Relationship Id="rId33" Target="mailto:marisa.sterling@utoronto.ca" TargetMode="External" Type="http://schemas.openxmlformats.org/officeDocument/2006/relationships/hyperlink"/><Relationship Id="rId34" Target="https://www.weforum.org/agenda/2019/04/business-case-for-diversity-in-the-workplace/" TargetMode="External" Type="http://schemas.openxmlformats.org/officeDocument/2006/relationships/hyperlink"/><Relationship Id="rId35" Target="https://governingcouncil.utoronto.ca/secretariat/policies/code-student-conduct-december-13-2019" TargetMode="External" Type="http://schemas.openxmlformats.org/officeDocument/2006/relationships/hyperlink"/><Relationship Id="rId36" Target="http://www.ohrc.on.ca/en/students&#8217;-handouts/fact-sheet-1-ontario-human-rights-code" TargetMode="External" Type="http://schemas.openxmlformats.org/officeDocument/2006/relationships/hyperlink"/><Relationship Id="rId37" Target="http://invalid.uri" TargetMode="External" Type="http://schemas.openxmlformats.org/officeDocument/2006/relationships/hyperlink"/><Relationship Id="rId38" Target="http://www.uofteng.ca/edi" TargetMode="External" Type="http://schemas.openxmlformats.org/officeDocument/2006/relationships/hyperlink"/><Relationship Id="rId39" Target="https://www.engineering.utoronto.ca/about/equity-diversity-and-inclusion/engineering-positive-space/" TargetMode="External" Type="http://schemas.openxmlformats.org/officeDocument/2006/relationships/hyperlink"/><Relationship Id="rId4" Target="mailto:mann@eecg.utoronto.ca" TargetMode="External" Type="http://schemas.openxmlformats.org/officeDocument/2006/relationships/hyperlink"/><Relationship Id="rId40" Target="https://studentlife.utoronto.ca/service/religious-accommodation-support/" TargetMode="External" Type="http://schemas.openxmlformats.org/officeDocument/2006/relationships/hyperlink"/><Relationship Id="rId41" Target="http://invalid.uri" TargetMode="External" Type="http://schemas.openxmlformats.org/officeDocument/2006/relationships/hyperlink"/><Relationship Id="rId42" Target="http://www.uofteng.ca/disclosure" TargetMode="External" Type="http://schemas.openxmlformats.org/officeDocument/2006/relationships/hyperlink"/><Relationship Id="rId43" Target="mailto:disclosure.engineering@utoronto.ca" TargetMode="External" Type="http://schemas.openxmlformats.org/officeDocument/2006/relationships/hyperlink"/><Relationship Id="rId44" Target="mailto:equity@g.skule.ca" TargetMode="External" Type="http://schemas.openxmlformats.org/officeDocument/2006/relationships/hyperlink"/><Relationship Id="rId45" Target="https://hrandequity.utoronto.ca/inclusion/equity-offices/" TargetMode="External" Type="http://schemas.openxmlformats.org/officeDocument/2006/relationships/hyperlink"/><Relationship Id="rId46" Target="http://www.writing.utoronto.ca/" TargetMode="External" Type="http://schemas.openxmlformats.org/officeDocument/2006/relationships/hyperlink"/><Relationship Id="rId47" Target="http://www.governingcouncil.utoronto.ca/policies/behaveac.htm" TargetMode="External" Type="http://schemas.openxmlformats.org/officeDocument/2006/relationships/hyperlink"/><Relationship Id="rId48" Target="http://academicintegrity.utoronto.ca/" TargetMode="External" Type="http://schemas.openxmlformats.org/officeDocument/2006/relationships/hyperlink"/><Relationship Id="rId49" Target="header1.xml" Type="http://schemas.openxmlformats.org/officeDocument/2006/relationships/header"/><Relationship Id="rId5" Target="http://wearcam.org/ece516/ECE516syllabus2023.pdf" TargetMode="External" Type="http://schemas.openxmlformats.org/officeDocument/2006/relationships/hyperlink"/><Relationship Id="rId50" Target="header2.xml" Type="http://schemas.openxmlformats.org/officeDocument/2006/relationships/header"/><Relationship Id="rId51" Target="footer1.xml" Type="http://schemas.openxmlformats.org/officeDocument/2006/relationships/footer"/><Relationship Id="rId52" Target="footer2.xml" Type="http://schemas.openxmlformats.org/officeDocument/2006/relationships/footer"/><Relationship Id="rId53" Target="numbering.xml" Type="http://schemas.openxmlformats.org/officeDocument/2006/relationships/numbering"/><Relationship Id="rId54" Target="fontTable.xml" Type="http://schemas.openxmlformats.org/officeDocument/2006/relationships/fontTable"/><Relationship Id="rId55" Target="settings.xml" Type="http://schemas.openxmlformats.org/officeDocument/2006/relationships/settings"/><Relationship Id="rId6" Target="http://wearcam.org/ece516/ECE516syllabus2023.pdf" TargetMode="External" Type="http://schemas.openxmlformats.org/officeDocument/2006/relationships/hyperlink"/><Relationship Id="rId7" Target="https://www.engineering.utoronto.ca/about/equity-diversity-and-inclusion/indigenous-cultural-competency-toolkit/" TargetMode="External" Type="http://schemas.openxmlformats.org/officeDocument/2006/relationships/hyperlink"/><Relationship Id="rId8" Target="http://invalid.uri" TargetMode="External" Type="http://schemas.openxmlformats.org/officeDocument/2006/relationships/hyperlink"/><Relationship Id="rId9" Target="https://studentlife.utoronto.ca/department/first-nations-house/" TargetMode="External" Type="http://schemas.openxmlformats.org/officeDocument/2006/relationships/hyperlink"/></Relationships>
</file>

<file path=word/_rels/fontTable.xml.rels><?xml version="1.0" encoding="UTF-8" standalone="yes"?><Relationships xmlns="http://schemas.openxmlformats.org/package/2006/relationships"><Relationship Id="rId1" Target="fonts/font1.odttf" Type="http://schemas.openxmlformats.org/officeDocument/2006/relationships/font"/><Relationship Id="rId10" Target="fonts/font10.odttf" Type="http://schemas.openxmlformats.org/officeDocument/2006/relationships/font"/><Relationship Id="rId11" Target="fonts/font11.odttf" Type="http://schemas.openxmlformats.org/officeDocument/2006/relationships/font"/><Relationship Id="rId12" Target="fonts/font12.odttf" Type="http://schemas.openxmlformats.org/officeDocument/2006/relationships/font"/><Relationship Id="rId13" Target="fonts/font13.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 Id="rId6" Target="fonts/font6.odttf" Type="http://schemas.openxmlformats.org/officeDocument/2006/relationships/font"/><Relationship Id="rId7" Target="fonts/font7.odttf" Type="http://schemas.openxmlformats.org/officeDocument/2006/relationships/font"/><Relationship Id="rId8" Target="fonts/font8.odttf" Type="http://schemas.openxmlformats.org/officeDocument/2006/relationships/font"/><Relationship Id="rId9" Target="fonts/font9.odttf" Type="http://schemas.openxmlformats.org/officeDocument/2006/relationships/font"/></Relationships>
</file>

<file path=docProps/app.xml><?xml version="1.0" encoding="utf-8"?>
<Properties xmlns="http://schemas.openxmlformats.org/officeDocument/2006/extended-properties" xmlns:vt="http://schemas.openxmlformats.org/officeDocument/2006/docPropsVTypes">
  <Template>Normal</Template>
  <TotalTime>445</TotalTime>
  <Application>LibreOffice/7.5.8.2$Linux_X86_64 LibreOffice_project/f718d63693263970429a68f568db6046aaa9df01</Application>
  <AppVersion>15.0000</AppVersion>
  <Pages>5</Pages>
  <Words>1511</Words>
  <Characters>9108</Characters>
  <CharactersWithSpaces>10554</CharactersWithSpaces>
  <Paragraphs>99</Paragraphs>
  <Company>Department of ABC</Company>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2022-08-10T17:35:00Z</dcterms:created>
  <dc:creator>ECE516H1 S Syllabus – Valid as of</dc:creator>
  <dc:language>en-US</dc:language>
  <cp:lastModifiedBy>System</cp:lastModifiedBy>
  <cp:lastPrinted>2022-05-09T15:52:00Z</cp:lastPrinted>
  <dcterms:modified xsi:type="dcterms:W3CDTF">2023-11-01T18:03:00Z</dcterms:modified>
  <cp:revision>135</cp:revision>
  <dc:subject>Fall 2022 syllabus for ABC101H1 F</dc:subject>
</cp:coreProperties>
</file>

<file path=docProps/custom.xml><?xml version="1.0" encoding="utf-8"?>
<Properties xmlns="http://schemas.openxmlformats.org/officeDocument/2006/custom-properties" xmlns:vt="http://schemas.openxmlformats.org/officeDocument/2006/docPropsVTypes">
  <property fmtid="{D5CDD505-2E9C-101B-9397-08002B2CF9AE}" name="ContentTypeId" pid="2">
    <vt:lpwstr>0x010100CCC006C55753BC43A1A9B3877784A938</vt:lpwstr>
  </property>
  <property fmtid="{D5CDD505-2E9C-101B-9397-08002B2CF9AE}" name="MediaServiceImageTags" pid="3">
    <vt:lpwstr/>
  </property>
</Properties>
</file>